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909D92" w14:textId="0CE1AC11" w:rsidR="007D42E0" w:rsidRPr="007D42E0" w:rsidRDefault="00703548" w:rsidP="00DB363A">
      <w:pPr>
        <w:spacing w:line="276" w:lineRule="auto"/>
        <w:jc w:val="center"/>
        <w:rPr>
          <w:rFonts w:ascii="Times New Roman" w:hAnsi="Times New Roman" w:cs="Times New Roman"/>
          <w:color w:val="0070C0"/>
        </w:rPr>
      </w:pPr>
      <w:proofErr w:type="spellStart"/>
      <w:r w:rsidRPr="00703548">
        <w:rPr>
          <w:rFonts w:ascii="Times New Roman" w:hAnsi="Times New Roman" w:cs="Times New Roman"/>
          <w:color w:val="0070C0"/>
        </w:rPr>
        <w:t>Probecell</w:t>
      </w:r>
      <w:proofErr w:type="spellEnd"/>
      <w:r w:rsidRPr="00703548">
        <w:rPr>
          <w:rFonts w:ascii="Times New Roman" w:hAnsi="Times New Roman" w:cs="Times New Roman"/>
          <w:color w:val="0070C0"/>
        </w:rPr>
        <w:t xml:space="preserve"> J. Adv. Pharm. Sci.</w:t>
      </w:r>
      <w:r>
        <w:rPr>
          <w:rFonts w:ascii="Times New Roman" w:hAnsi="Times New Roman" w:cs="Times New Roman"/>
          <w:color w:val="0070C0"/>
        </w:rPr>
        <w:t>,</w:t>
      </w:r>
      <w:r w:rsidRPr="00703548">
        <w:rPr>
          <w:rFonts w:ascii="Times New Roman" w:hAnsi="Times New Roman" w:cs="Times New Roman"/>
          <w:color w:val="0070C0"/>
        </w:rPr>
        <w:t xml:space="preserve"> </w:t>
      </w:r>
      <w:r w:rsidR="00591626">
        <w:rPr>
          <w:rFonts w:ascii="Times New Roman" w:hAnsi="Times New Roman" w:cs="Times New Roman"/>
          <w:color w:val="0070C0"/>
        </w:rPr>
        <w:t>202</w:t>
      </w:r>
      <w:r w:rsidR="00E546C0">
        <w:rPr>
          <w:rFonts w:ascii="Times New Roman" w:hAnsi="Times New Roman" w:cs="Times New Roman"/>
          <w:color w:val="0070C0"/>
        </w:rPr>
        <w:t>6</w:t>
      </w:r>
      <w:r w:rsidR="00CD572D">
        <w:rPr>
          <w:rFonts w:ascii="Times New Roman" w:hAnsi="Times New Roman" w:cs="Times New Roman"/>
          <w:color w:val="0070C0"/>
        </w:rPr>
        <w:t>;</w:t>
      </w:r>
      <w:r w:rsidR="00E546C0">
        <w:rPr>
          <w:rFonts w:ascii="Times New Roman" w:hAnsi="Times New Roman" w:cs="Times New Roman"/>
          <w:color w:val="0070C0"/>
        </w:rPr>
        <w:t>1</w:t>
      </w:r>
      <w:r w:rsidR="00CD572D">
        <w:rPr>
          <w:rFonts w:ascii="Times New Roman" w:hAnsi="Times New Roman" w:cs="Times New Roman"/>
          <w:color w:val="0070C0"/>
        </w:rPr>
        <w:t>(</w:t>
      </w:r>
      <w:r w:rsidR="00E546C0">
        <w:rPr>
          <w:rFonts w:ascii="Times New Roman" w:hAnsi="Times New Roman" w:cs="Times New Roman"/>
          <w:color w:val="0070C0"/>
        </w:rPr>
        <w:t>1</w:t>
      </w:r>
      <w:r w:rsidR="00CD572D">
        <w:rPr>
          <w:rFonts w:ascii="Times New Roman" w:hAnsi="Times New Roman" w:cs="Times New Roman"/>
          <w:color w:val="0070C0"/>
        </w:rPr>
        <w:t>):</w:t>
      </w:r>
      <w:r w:rsidR="00E546C0">
        <w:rPr>
          <w:rFonts w:ascii="Times New Roman" w:hAnsi="Times New Roman" w:cs="Times New Roman"/>
          <w:color w:val="0070C0"/>
        </w:rPr>
        <w:t>01</w:t>
      </w:r>
      <w:r w:rsidR="0084230D">
        <w:rPr>
          <w:rFonts w:ascii="Times New Roman" w:hAnsi="Times New Roman" w:cs="Times New Roman"/>
          <w:color w:val="0070C0"/>
        </w:rPr>
        <w:t>-</w:t>
      </w:r>
      <w:r w:rsidR="00E546C0">
        <w:rPr>
          <w:rFonts w:ascii="Times New Roman" w:hAnsi="Times New Roman" w:cs="Times New Roman"/>
          <w:color w:val="0070C0"/>
        </w:rPr>
        <w:t>12</w:t>
      </w:r>
    </w:p>
    <w:tbl>
      <w:tblPr>
        <w:tblStyle w:val="TableGrid"/>
        <w:tblW w:w="0" w:type="auto"/>
        <w:tblBorders>
          <w:left w:val="none" w:sz="0" w:space="0" w:color="auto"/>
          <w:bottom w:val="single" w:sz="18"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26"/>
        <w:gridCol w:w="7938"/>
        <w:gridCol w:w="1218"/>
      </w:tblGrid>
      <w:tr w:rsidR="007D42E0" w14:paraId="1704EC2D" w14:textId="7F41A3BA" w:rsidTr="002B302C">
        <w:tc>
          <w:tcPr>
            <w:tcW w:w="1526" w:type="dxa"/>
            <w:vAlign w:val="center"/>
          </w:tcPr>
          <w:p w14:paraId="5FE60970" w14:textId="25AD5E57" w:rsidR="007D42E0" w:rsidRPr="007D42E0" w:rsidRDefault="007D42E0" w:rsidP="00DB363A">
            <w:pPr>
              <w:tabs>
                <w:tab w:val="left" w:pos="492"/>
              </w:tabs>
              <w:spacing w:line="276" w:lineRule="auto"/>
              <w:jc w:val="center"/>
              <w:rPr>
                <w:rFonts w:ascii="Times New Roman" w:hAnsi="Times New Roman" w:cs="Times New Roman"/>
                <w:b/>
                <w:bCs/>
                <w:color w:val="1F3864" w:themeColor="accent1" w:themeShade="80"/>
                <w:szCs w:val="24"/>
              </w:rPr>
            </w:pPr>
            <w:r>
              <w:rPr>
                <w:noProof/>
              </w:rPr>
              <w:drawing>
                <wp:inline distT="0" distB="0" distL="0" distR="0" wp14:anchorId="0708F00C" wp14:editId="7CEDB7ED">
                  <wp:extent cx="822960" cy="822960"/>
                  <wp:effectExtent l="0" t="0" r="0" b="0"/>
                  <wp:docPr id="15658222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22960" cy="822960"/>
                          </a:xfrm>
                          <a:prstGeom prst="rect">
                            <a:avLst/>
                          </a:prstGeom>
                          <a:noFill/>
                          <a:ln>
                            <a:noFill/>
                          </a:ln>
                        </pic:spPr>
                      </pic:pic>
                    </a:graphicData>
                  </a:graphic>
                </wp:inline>
              </w:drawing>
            </w:r>
          </w:p>
        </w:tc>
        <w:tc>
          <w:tcPr>
            <w:tcW w:w="7938" w:type="dxa"/>
            <w:vAlign w:val="center"/>
          </w:tcPr>
          <w:p w14:paraId="20308FC7" w14:textId="77777777" w:rsidR="007D42E0" w:rsidRDefault="007D42E0" w:rsidP="00DB363A">
            <w:pPr>
              <w:tabs>
                <w:tab w:val="left" w:pos="492"/>
              </w:tabs>
              <w:spacing w:line="276" w:lineRule="auto"/>
              <w:jc w:val="center"/>
              <w:rPr>
                <w:rFonts w:ascii="Times New Roman" w:hAnsi="Times New Roman" w:cs="Times New Roman"/>
                <w:b/>
                <w:bCs/>
                <w:color w:val="1F3864" w:themeColor="accent1" w:themeShade="80"/>
                <w:sz w:val="40"/>
                <w:szCs w:val="44"/>
              </w:rPr>
            </w:pPr>
            <w:r w:rsidRPr="007D42E0">
              <w:rPr>
                <w:rFonts w:ascii="Times New Roman" w:hAnsi="Times New Roman" w:cs="Times New Roman"/>
                <w:b/>
                <w:bCs/>
                <w:color w:val="1F3864" w:themeColor="accent1" w:themeShade="80"/>
                <w:sz w:val="40"/>
                <w:szCs w:val="44"/>
              </w:rPr>
              <w:t>PROBECELL JOURNAL OF ADVANCED PHARMACEUTICAL</w:t>
            </w:r>
            <w:r>
              <w:rPr>
                <w:rFonts w:ascii="Times New Roman" w:hAnsi="Times New Roman" w:cs="Times New Roman"/>
                <w:b/>
                <w:bCs/>
                <w:color w:val="1F3864" w:themeColor="accent1" w:themeShade="80"/>
                <w:sz w:val="40"/>
                <w:szCs w:val="44"/>
              </w:rPr>
              <w:t xml:space="preserve"> </w:t>
            </w:r>
            <w:r w:rsidRPr="007D42E0">
              <w:rPr>
                <w:rFonts w:ascii="Times New Roman" w:hAnsi="Times New Roman" w:cs="Times New Roman"/>
                <w:b/>
                <w:bCs/>
                <w:color w:val="1F3864" w:themeColor="accent1" w:themeShade="80"/>
                <w:sz w:val="40"/>
                <w:szCs w:val="44"/>
              </w:rPr>
              <w:t>SCIENCES (PJAPS)</w:t>
            </w:r>
          </w:p>
          <w:p w14:paraId="5E4304DB" w14:textId="77777777" w:rsidR="007D42E0" w:rsidRDefault="007D42E0" w:rsidP="00DB363A">
            <w:pPr>
              <w:tabs>
                <w:tab w:val="left" w:pos="492"/>
              </w:tabs>
              <w:spacing w:line="276" w:lineRule="auto"/>
              <w:jc w:val="center"/>
              <w:rPr>
                <w:rFonts w:ascii="Times New Roman" w:hAnsi="Times New Roman" w:cs="Times New Roman"/>
              </w:rPr>
            </w:pPr>
          </w:p>
          <w:p w14:paraId="3BA17CA4" w14:textId="1CB170D9" w:rsidR="007D42E0" w:rsidRPr="007D42E0" w:rsidRDefault="007D42E0" w:rsidP="00DB363A">
            <w:pPr>
              <w:tabs>
                <w:tab w:val="left" w:pos="492"/>
              </w:tabs>
              <w:spacing w:line="276" w:lineRule="auto"/>
              <w:jc w:val="center"/>
              <w:rPr>
                <w:rFonts w:ascii="Times New Roman" w:hAnsi="Times New Roman" w:cs="Times New Roman"/>
                <w:b/>
                <w:bCs/>
                <w:color w:val="1F3864" w:themeColor="accent1" w:themeShade="80"/>
                <w:sz w:val="40"/>
                <w:szCs w:val="44"/>
              </w:rPr>
            </w:pPr>
            <w:r w:rsidRPr="009B41C9">
              <w:rPr>
                <w:rFonts w:ascii="Times New Roman" w:hAnsi="Times New Roman" w:cs="Times New Roman"/>
              </w:rPr>
              <w:t xml:space="preserve">Journal homepage: </w:t>
            </w:r>
            <w:r w:rsidRPr="00E37062">
              <w:rPr>
                <w:rStyle w:val="Hyperlink"/>
                <w:rFonts w:ascii="Times New Roman" w:hAnsi="Times New Roman" w:cs="Times New Roman"/>
              </w:rPr>
              <w:t>https://p</w:t>
            </w:r>
            <w:r>
              <w:rPr>
                <w:rStyle w:val="Hyperlink"/>
                <w:rFonts w:ascii="Times New Roman" w:hAnsi="Times New Roman" w:cs="Times New Roman"/>
              </w:rPr>
              <w:t>japs</w:t>
            </w:r>
            <w:r w:rsidRPr="00E37062">
              <w:rPr>
                <w:rStyle w:val="Hyperlink"/>
                <w:rFonts w:ascii="Times New Roman" w:hAnsi="Times New Roman" w:cs="Times New Roman"/>
              </w:rPr>
              <w:t>.com</w:t>
            </w:r>
          </w:p>
        </w:tc>
        <w:tc>
          <w:tcPr>
            <w:tcW w:w="1218" w:type="dxa"/>
            <w:vAlign w:val="bottom"/>
          </w:tcPr>
          <w:p w14:paraId="14332097" w14:textId="68A1FB29" w:rsidR="007D42E0" w:rsidRPr="007D42E0" w:rsidRDefault="007D42E0" w:rsidP="00DB363A">
            <w:pPr>
              <w:tabs>
                <w:tab w:val="left" w:pos="492"/>
              </w:tabs>
              <w:spacing w:line="276" w:lineRule="auto"/>
              <w:jc w:val="center"/>
              <w:rPr>
                <w:rFonts w:ascii="Times New Roman" w:hAnsi="Times New Roman" w:cs="Times New Roman"/>
                <w:b/>
                <w:bCs/>
                <w:color w:val="1F3864" w:themeColor="accent1" w:themeShade="80"/>
                <w:sz w:val="40"/>
                <w:szCs w:val="44"/>
              </w:rPr>
            </w:pPr>
            <w:r>
              <w:rPr>
                <w:noProof/>
              </w:rPr>
              <w:drawing>
                <wp:inline distT="0" distB="0" distL="0" distR="0" wp14:anchorId="292D47E3" wp14:editId="69F1E023">
                  <wp:extent cx="662434" cy="937260"/>
                  <wp:effectExtent l="0" t="0" r="0" b="0"/>
                  <wp:docPr id="413081001" name="Picture 41308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5328" cy="969653"/>
                          </a:xfrm>
                          <a:prstGeom prst="rect">
                            <a:avLst/>
                          </a:prstGeom>
                          <a:noFill/>
                          <a:ln>
                            <a:noFill/>
                          </a:ln>
                        </pic:spPr>
                      </pic:pic>
                    </a:graphicData>
                  </a:graphic>
                </wp:inline>
              </w:drawing>
            </w:r>
          </w:p>
        </w:tc>
      </w:tr>
    </w:tbl>
    <w:p w14:paraId="3BB41F19" w14:textId="77777777" w:rsidR="00703548" w:rsidRDefault="00703548" w:rsidP="00DB363A">
      <w:pPr>
        <w:tabs>
          <w:tab w:val="left" w:pos="492"/>
        </w:tabs>
        <w:spacing w:line="276" w:lineRule="auto"/>
        <w:jc w:val="both"/>
        <w:rPr>
          <w:rFonts w:ascii="Times New Roman" w:hAnsi="Times New Roman" w:cs="Times New Roman"/>
          <w:b/>
          <w:bCs/>
          <w:szCs w:val="24"/>
        </w:rPr>
      </w:pPr>
    </w:p>
    <w:p w14:paraId="04F508B6" w14:textId="77777777" w:rsidR="00BC442E" w:rsidRPr="00BC442E" w:rsidRDefault="00BC442E" w:rsidP="00BC442E">
      <w:pPr>
        <w:spacing w:line="240" w:lineRule="auto"/>
        <w:jc w:val="both"/>
        <w:rPr>
          <w:rFonts w:ascii="Times New Roman" w:hAnsi="Times New Roman" w:cs="Times New Roman"/>
          <w:b/>
          <w:bCs/>
          <w:sz w:val="32"/>
          <w:szCs w:val="32"/>
        </w:rPr>
      </w:pPr>
      <w:r w:rsidRPr="00BC442E">
        <w:rPr>
          <w:rFonts w:ascii="Times New Roman" w:hAnsi="Times New Roman" w:cs="Times New Roman"/>
          <w:b/>
          <w:bCs/>
          <w:sz w:val="32"/>
          <w:szCs w:val="32"/>
        </w:rPr>
        <w:t>Recent Advances in Microbiome-Driven Ocular Surface Health: Metabolic and Microbial Insights Linking Obesity, Dysbiosis, and Dry Eye Disease</w:t>
      </w:r>
    </w:p>
    <w:p w14:paraId="4246FDF3" w14:textId="77777777" w:rsidR="00E03A10" w:rsidRPr="00E03A10" w:rsidRDefault="00E03A10" w:rsidP="00E03A10">
      <w:pPr>
        <w:tabs>
          <w:tab w:val="left" w:pos="492"/>
        </w:tabs>
        <w:spacing w:line="276" w:lineRule="auto"/>
        <w:jc w:val="both"/>
        <w:rPr>
          <w:rFonts w:ascii="Times New Roman" w:hAnsi="Times New Roman" w:cs="Times New Roman"/>
          <w:sz w:val="32"/>
        </w:rPr>
      </w:pPr>
    </w:p>
    <w:p w14:paraId="5AE90FAA" w14:textId="38892613" w:rsidR="000332AD" w:rsidRPr="00E03A10" w:rsidRDefault="005630A1" w:rsidP="00DB363A">
      <w:pPr>
        <w:tabs>
          <w:tab w:val="left" w:pos="5103"/>
        </w:tabs>
        <w:spacing w:line="276" w:lineRule="auto"/>
        <w:ind w:right="26"/>
        <w:jc w:val="both"/>
        <w:rPr>
          <w:rFonts w:ascii="Times New Roman" w:hAnsi="Times New Roman" w:cs="Times New Roman"/>
          <w:bCs/>
          <w:sz w:val="26"/>
          <w:szCs w:val="26"/>
        </w:rPr>
      </w:pPr>
      <w:proofErr w:type="spellStart"/>
      <w:r>
        <w:rPr>
          <w:rFonts w:ascii="Times New Roman" w:hAnsi="Times New Roman" w:cs="Times New Roman"/>
          <w:bCs/>
          <w:sz w:val="26"/>
          <w:szCs w:val="26"/>
        </w:rPr>
        <w:t>Jhakeshwar</w:t>
      </w:r>
      <w:proofErr w:type="spellEnd"/>
      <w:r>
        <w:rPr>
          <w:rFonts w:ascii="Times New Roman" w:hAnsi="Times New Roman" w:cs="Times New Roman"/>
          <w:bCs/>
          <w:sz w:val="26"/>
          <w:szCs w:val="26"/>
        </w:rPr>
        <w:t xml:space="preserve"> Prasad</w:t>
      </w:r>
    </w:p>
    <w:p w14:paraId="4A942BB4" w14:textId="54D96078" w:rsidR="000332AD" w:rsidRPr="001B3968" w:rsidRDefault="005630A1" w:rsidP="00DB363A">
      <w:pPr>
        <w:tabs>
          <w:tab w:val="left" w:pos="5103"/>
        </w:tabs>
        <w:spacing w:line="276" w:lineRule="auto"/>
        <w:ind w:right="26"/>
        <w:jc w:val="both"/>
        <w:rPr>
          <w:rFonts w:ascii="Times New Roman" w:hAnsi="Times New Roman" w:cs="Times New Roman"/>
          <w:bCs/>
          <w:sz w:val="26"/>
          <w:szCs w:val="26"/>
          <w:highlight w:val="yellow"/>
          <w:vertAlign w:val="superscript"/>
        </w:rPr>
      </w:pPr>
      <w:r>
        <w:rPr>
          <w:rFonts w:ascii="Times New Roman" w:hAnsi="Times New Roman" w:cs="Times New Roman"/>
          <w:bCs/>
          <w:sz w:val="18"/>
          <w:szCs w:val="18"/>
        </w:rPr>
        <w:t xml:space="preserve">Department of Pharmacology, </w:t>
      </w:r>
      <w:r w:rsidRPr="005630A1">
        <w:rPr>
          <w:rFonts w:ascii="Times New Roman" w:hAnsi="Times New Roman" w:cs="Times New Roman"/>
          <w:bCs/>
          <w:sz w:val="18"/>
          <w:szCs w:val="18"/>
        </w:rPr>
        <w:t xml:space="preserve">Shri Shankaracharya College of Pharmaceutical Sciences, SSPU, </w:t>
      </w:r>
      <w:proofErr w:type="spellStart"/>
      <w:r w:rsidRPr="005630A1">
        <w:rPr>
          <w:rFonts w:ascii="Times New Roman" w:hAnsi="Times New Roman" w:cs="Times New Roman"/>
          <w:bCs/>
          <w:sz w:val="18"/>
          <w:szCs w:val="18"/>
        </w:rPr>
        <w:t>Junwani</w:t>
      </w:r>
      <w:proofErr w:type="spellEnd"/>
      <w:r w:rsidRPr="005630A1">
        <w:rPr>
          <w:rFonts w:ascii="Times New Roman" w:hAnsi="Times New Roman" w:cs="Times New Roman"/>
          <w:bCs/>
          <w:sz w:val="18"/>
          <w:szCs w:val="18"/>
        </w:rPr>
        <w:t xml:space="preserve"> - 490020, </w:t>
      </w:r>
      <w:proofErr w:type="spellStart"/>
      <w:r w:rsidRPr="005630A1">
        <w:rPr>
          <w:rFonts w:ascii="Times New Roman" w:hAnsi="Times New Roman" w:cs="Times New Roman"/>
          <w:bCs/>
          <w:sz w:val="18"/>
          <w:szCs w:val="18"/>
        </w:rPr>
        <w:t>Bhilai</w:t>
      </w:r>
      <w:proofErr w:type="spellEnd"/>
      <w:r w:rsidRPr="005630A1">
        <w:rPr>
          <w:rFonts w:ascii="Times New Roman" w:hAnsi="Times New Roman" w:cs="Times New Roman"/>
          <w:bCs/>
          <w:sz w:val="18"/>
          <w:szCs w:val="18"/>
        </w:rPr>
        <w:t>, Chhattisgarh, India</w:t>
      </w:r>
    </w:p>
    <w:p w14:paraId="315D66B1" w14:textId="77777777" w:rsidR="000332AD" w:rsidRPr="006D0897" w:rsidRDefault="000332AD" w:rsidP="00DB363A">
      <w:pPr>
        <w:tabs>
          <w:tab w:val="left" w:pos="5103"/>
          <w:tab w:val="left" w:pos="8232"/>
          <w:tab w:val="left" w:pos="8664"/>
        </w:tabs>
        <w:spacing w:line="276" w:lineRule="auto"/>
        <w:ind w:right="26"/>
        <w:jc w:val="both"/>
        <w:rPr>
          <w:rFonts w:ascii="Times New Roman" w:hAnsi="Times New Roman" w:cs="Times New Roman"/>
          <w:bCs/>
          <w:sz w:val="18"/>
          <w:szCs w:val="18"/>
        </w:rPr>
      </w:pPr>
      <w:r w:rsidRPr="006D0897">
        <w:rPr>
          <w:rFonts w:ascii="Times New Roman" w:hAnsi="Times New Roman" w:cs="Times New Roman"/>
          <w:bCs/>
          <w:sz w:val="18"/>
          <w:szCs w:val="18"/>
        </w:rPr>
        <w:tab/>
      </w:r>
      <w:r w:rsidRPr="006D0897">
        <w:rPr>
          <w:rFonts w:ascii="Times New Roman" w:hAnsi="Times New Roman" w:cs="Times New Roman"/>
        </w:rPr>
        <w:tab/>
      </w:r>
    </w:p>
    <w:p w14:paraId="2BFE3FF9" w14:textId="2CE5A21E" w:rsidR="005630A1" w:rsidRDefault="000332AD" w:rsidP="00DB363A">
      <w:pPr>
        <w:tabs>
          <w:tab w:val="left" w:pos="5103"/>
        </w:tabs>
        <w:spacing w:line="276" w:lineRule="auto"/>
        <w:ind w:right="26"/>
        <w:jc w:val="both"/>
        <w:rPr>
          <w:rFonts w:ascii="Times New Roman" w:hAnsi="Times New Roman" w:cs="Times New Roman"/>
          <w:bCs/>
          <w:sz w:val="26"/>
          <w:szCs w:val="26"/>
          <w:highlight w:val="yellow"/>
          <w:vertAlign w:val="superscript"/>
        </w:rPr>
      </w:pPr>
      <w:r w:rsidRPr="006D0897">
        <w:rPr>
          <w:rFonts w:ascii="Times New Roman" w:hAnsi="Times New Roman" w:cs="Times New Roman"/>
          <w:bCs/>
          <w:sz w:val="18"/>
          <w:szCs w:val="18"/>
        </w:rPr>
        <w:t xml:space="preserve">*Corresponding Author: </w:t>
      </w:r>
      <w:r w:rsidR="005630A1">
        <w:rPr>
          <w:rFonts w:ascii="Times New Roman" w:hAnsi="Times New Roman" w:cs="Times New Roman"/>
          <w:bCs/>
          <w:sz w:val="18"/>
          <w:szCs w:val="18"/>
        </w:rPr>
        <w:t xml:space="preserve">Department of Pharmacology, </w:t>
      </w:r>
      <w:r w:rsidR="005630A1" w:rsidRPr="005630A1">
        <w:rPr>
          <w:rFonts w:ascii="Times New Roman" w:hAnsi="Times New Roman" w:cs="Times New Roman"/>
          <w:bCs/>
          <w:sz w:val="18"/>
          <w:szCs w:val="18"/>
        </w:rPr>
        <w:t xml:space="preserve">Shri Shankaracharya College of Pharmaceutical Sciences, SSPU, </w:t>
      </w:r>
      <w:proofErr w:type="spellStart"/>
      <w:r w:rsidR="005630A1" w:rsidRPr="005630A1">
        <w:rPr>
          <w:rFonts w:ascii="Times New Roman" w:hAnsi="Times New Roman" w:cs="Times New Roman"/>
          <w:bCs/>
          <w:sz w:val="18"/>
          <w:szCs w:val="18"/>
        </w:rPr>
        <w:t>Junwani</w:t>
      </w:r>
      <w:proofErr w:type="spellEnd"/>
      <w:r w:rsidR="005630A1" w:rsidRPr="005630A1">
        <w:rPr>
          <w:rFonts w:ascii="Times New Roman" w:hAnsi="Times New Roman" w:cs="Times New Roman"/>
          <w:bCs/>
          <w:sz w:val="18"/>
          <w:szCs w:val="18"/>
        </w:rPr>
        <w:t xml:space="preserve"> - 490020, </w:t>
      </w:r>
      <w:proofErr w:type="spellStart"/>
      <w:r w:rsidR="005630A1" w:rsidRPr="005630A1">
        <w:rPr>
          <w:rFonts w:ascii="Times New Roman" w:hAnsi="Times New Roman" w:cs="Times New Roman"/>
          <w:bCs/>
          <w:sz w:val="18"/>
          <w:szCs w:val="18"/>
        </w:rPr>
        <w:t>Bhilai</w:t>
      </w:r>
      <w:proofErr w:type="spellEnd"/>
      <w:r w:rsidR="005630A1" w:rsidRPr="005630A1">
        <w:rPr>
          <w:rFonts w:ascii="Times New Roman" w:hAnsi="Times New Roman" w:cs="Times New Roman"/>
          <w:bCs/>
          <w:sz w:val="18"/>
          <w:szCs w:val="18"/>
        </w:rPr>
        <w:t>, Chhattisgarh, India</w:t>
      </w:r>
    </w:p>
    <w:p w14:paraId="2AF08862" w14:textId="77777777" w:rsidR="005630A1" w:rsidRPr="005630A1" w:rsidRDefault="005630A1" w:rsidP="00DB363A">
      <w:pPr>
        <w:tabs>
          <w:tab w:val="left" w:pos="5103"/>
        </w:tabs>
        <w:spacing w:line="276" w:lineRule="auto"/>
        <w:ind w:right="26"/>
        <w:jc w:val="both"/>
        <w:rPr>
          <w:rFonts w:ascii="Times New Roman" w:hAnsi="Times New Roman" w:cs="Times New Roman"/>
          <w:bCs/>
          <w:sz w:val="26"/>
          <w:szCs w:val="26"/>
          <w:highlight w:val="yellow"/>
          <w:vertAlign w:val="superscript"/>
        </w:rPr>
      </w:pPr>
    </w:p>
    <w:p w14:paraId="6769E047" w14:textId="3A79CDF4" w:rsidR="005630A1" w:rsidRPr="005630A1" w:rsidRDefault="000332AD" w:rsidP="00DB363A">
      <w:pPr>
        <w:spacing w:line="276" w:lineRule="auto"/>
        <w:jc w:val="both"/>
        <w:rPr>
          <w:rFonts w:ascii="Times New Roman" w:hAnsi="Times New Roman" w:cs="Times New Roman"/>
          <w:bCs/>
          <w:sz w:val="18"/>
          <w:szCs w:val="18"/>
        </w:rPr>
      </w:pPr>
      <w:r w:rsidRPr="006D0897">
        <w:rPr>
          <w:rFonts w:ascii="Times New Roman" w:hAnsi="Times New Roman" w:cs="Times New Roman"/>
          <w:bCs/>
          <w:i/>
          <w:iCs/>
          <w:sz w:val="18"/>
          <w:szCs w:val="18"/>
        </w:rPr>
        <w:t>E-mail Address</w:t>
      </w:r>
      <w:r w:rsidR="005630A1">
        <w:t xml:space="preserve">: </w:t>
      </w:r>
      <w:hyperlink r:id="rId10" w:history="1">
        <w:r w:rsidR="005630A1" w:rsidRPr="005630A1">
          <w:rPr>
            <w:rStyle w:val="Hyperlink"/>
            <w:rFonts w:ascii="Times New Roman" w:hAnsi="Times New Roman" w:cs="Times New Roman"/>
            <w:bCs/>
            <w:i/>
            <w:iCs/>
            <w:sz w:val="18"/>
            <w:szCs w:val="18"/>
          </w:rPr>
          <w:t>jhakeshwarprasad03@gmail.com</w:t>
        </w:r>
      </w:hyperlink>
      <w:r w:rsidR="005630A1" w:rsidRPr="005630A1">
        <w:rPr>
          <w:rFonts w:ascii="Times New Roman" w:hAnsi="Times New Roman" w:cs="Times New Roman"/>
          <w:bCs/>
          <w:i/>
          <w:iCs/>
          <w:sz w:val="18"/>
          <w:szCs w:val="18"/>
        </w:rPr>
        <w:t xml:space="preserve"> </w:t>
      </w:r>
      <w:r w:rsidR="005630A1" w:rsidRPr="005630A1">
        <w:rPr>
          <w:rFonts w:ascii="Times New Roman" w:hAnsi="Times New Roman" w:cs="Times New Roman"/>
          <w:bCs/>
          <w:i/>
          <w:iCs/>
          <w:color w:val="0000FF"/>
          <w:sz w:val="18"/>
          <w:szCs w:val="18"/>
        </w:rPr>
        <w:t xml:space="preserve"> </w:t>
      </w:r>
      <w:r w:rsidR="005630A1" w:rsidRPr="005630A1">
        <w:rPr>
          <w:rFonts w:ascii="Times New Roman" w:hAnsi="Times New Roman" w:cs="Times New Roman"/>
          <w:bCs/>
          <w:color w:val="0000FF"/>
          <w:sz w:val="18"/>
          <w:szCs w:val="18"/>
        </w:rPr>
        <w:t>(</w:t>
      </w:r>
      <w:proofErr w:type="spellStart"/>
      <w:r w:rsidR="005630A1" w:rsidRPr="005630A1">
        <w:rPr>
          <w:rFonts w:ascii="Times New Roman" w:hAnsi="Times New Roman" w:cs="Times New Roman"/>
          <w:bCs/>
          <w:sz w:val="18"/>
          <w:szCs w:val="18"/>
        </w:rPr>
        <w:t>Jhakeshwar</w:t>
      </w:r>
      <w:proofErr w:type="spellEnd"/>
      <w:r w:rsidR="005630A1" w:rsidRPr="005630A1">
        <w:rPr>
          <w:rFonts w:ascii="Times New Roman" w:hAnsi="Times New Roman" w:cs="Times New Roman"/>
          <w:bCs/>
          <w:sz w:val="18"/>
          <w:szCs w:val="18"/>
        </w:rPr>
        <w:t xml:space="preserve"> Prasad)</w:t>
      </w:r>
    </w:p>
    <w:p w14:paraId="0F3628D8" w14:textId="052E2EAB" w:rsidR="005630A1" w:rsidRPr="005630A1" w:rsidRDefault="005630A1" w:rsidP="00DB363A">
      <w:pPr>
        <w:spacing w:line="276" w:lineRule="auto"/>
        <w:jc w:val="both"/>
        <w:rPr>
          <w:rFonts w:ascii="Times New Roman" w:hAnsi="Times New Roman" w:cs="Times New Roman"/>
          <w:bCs/>
          <w:i/>
          <w:iCs/>
          <w:sz w:val="18"/>
          <w:szCs w:val="18"/>
        </w:rPr>
      </w:pPr>
      <w:r w:rsidRPr="005630A1">
        <w:rPr>
          <w:rFonts w:ascii="Times New Roman" w:hAnsi="Times New Roman" w:cs="Times New Roman"/>
          <w:bCs/>
          <w:i/>
          <w:iCs/>
          <w:sz w:val="18"/>
          <w:szCs w:val="18"/>
        </w:rPr>
        <w:t xml:space="preserve">ORCID: </w:t>
      </w:r>
      <w:hyperlink r:id="rId11" w:tgtFrame="_blank" w:history="1">
        <w:r w:rsidRPr="005630A1">
          <w:rPr>
            <w:rStyle w:val="Hyperlink"/>
            <w:rFonts w:ascii="Times New Roman" w:hAnsi="Times New Roman" w:cs="Times New Roman"/>
            <w:bCs/>
            <w:i/>
            <w:iCs/>
            <w:sz w:val="18"/>
            <w:szCs w:val="18"/>
          </w:rPr>
          <w:t>https://orcid.org/0000-0002-9774-4318</w:t>
        </w:r>
      </w:hyperlink>
    </w:p>
    <w:tbl>
      <w:tblPr>
        <w:tblStyle w:val="TableGrid1"/>
        <w:tblW w:w="487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72"/>
        <w:gridCol w:w="7834"/>
      </w:tblGrid>
      <w:tr w:rsidR="00D01FB4" w:rsidRPr="00AC34FF" w14:paraId="25ECBB17" w14:textId="77777777" w:rsidTr="00D01FB4">
        <w:trPr>
          <w:trHeight w:val="647"/>
        </w:trPr>
        <w:tc>
          <w:tcPr>
            <w:tcW w:w="1236" w:type="pct"/>
          </w:tcPr>
          <w:p w14:paraId="3CF74F87" w14:textId="77777777" w:rsidR="001C14A1" w:rsidRDefault="001C14A1" w:rsidP="00DB363A">
            <w:pPr>
              <w:spacing w:line="276" w:lineRule="auto"/>
              <w:jc w:val="both"/>
              <w:rPr>
                <w:rFonts w:ascii="Times New Roman" w:hAnsi="Times New Roman" w:cs="Times New Roman"/>
                <w:b/>
                <w:bCs/>
                <w:i/>
                <w:iCs/>
                <w:color w:val="1F4E79" w:themeColor="accent5" w:themeShade="80"/>
                <w:sz w:val="24"/>
                <w:szCs w:val="24"/>
              </w:rPr>
            </w:pPr>
          </w:p>
          <w:p w14:paraId="76B2BF0A" w14:textId="77777777" w:rsidR="00D01FB4" w:rsidRPr="00CF0C3D" w:rsidRDefault="00D01FB4" w:rsidP="00DB363A">
            <w:pPr>
              <w:spacing w:line="276" w:lineRule="auto"/>
              <w:jc w:val="both"/>
              <w:rPr>
                <w:rFonts w:ascii="Times New Roman" w:hAnsi="Times New Roman" w:cs="Times New Roman"/>
                <w:b/>
                <w:bCs/>
                <w:i/>
                <w:iCs/>
                <w:color w:val="1F4E79" w:themeColor="accent5" w:themeShade="80"/>
                <w:sz w:val="24"/>
                <w:szCs w:val="24"/>
              </w:rPr>
            </w:pPr>
            <w:r w:rsidRPr="00CF0C3D">
              <w:rPr>
                <w:rFonts w:ascii="Times New Roman" w:hAnsi="Times New Roman" w:cs="Times New Roman"/>
                <w:b/>
                <w:bCs/>
                <w:i/>
                <w:iCs/>
                <w:color w:val="1F4E79" w:themeColor="accent5" w:themeShade="80"/>
                <w:sz w:val="24"/>
                <w:szCs w:val="24"/>
              </w:rPr>
              <w:t>ARTICLE INFO</w:t>
            </w:r>
          </w:p>
        </w:tc>
        <w:tc>
          <w:tcPr>
            <w:tcW w:w="3764" w:type="pct"/>
          </w:tcPr>
          <w:p w14:paraId="4257CA09" w14:textId="77777777" w:rsidR="001C14A1" w:rsidRDefault="001C14A1" w:rsidP="00DB363A">
            <w:pPr>
              <w:spacing w:line="276" w:lineRule="auto"/>
              <w:jc w:val="both"/>
              <w:rPr>
                <w:rFonts w:ascii="Times New Roman" w:hAnsi="Times New Roman" w:cs="Times New Roman"/>
                <w:b/>
                <w:bCs/>
                <w:color w:val="1F4E79" w:themeColor="accent5" w:themeShade="80"/>
                <w:sz w:val="24"/>
                <w:szCs w:val="24"/>
              </w:rPr>
            </w:pPr>
          </w:p>
          <w:p w14:paraId="3CEE8839" w14:textId="77777777" w:rsidR="00D01FB4" w:rsidRPr="00454DF6" w:rsidRDefault="00D01FB4" w:rsidP="00DB363A">
            <w:pPr>
              <w:spacing w:line="276" w:lineRule="auto"/>
              <w:jc w:val="both"/>
              <w:rPr>
                <w:rFonts w:ascii="Times New Roman" w:hAnsi="Times New Roman" w:cs="Times New Roman"/>
                <w:b/>
                <w:bCs/>
                <w:i/>
                <w:iCs/>
                <w:color w:val="1F4E79" w:themeColor="accent5" w:themeShade="80"/>
                <w:sz w:val="24"/>
                <w:szCs w:val="24"/>
              </w:rPr>
            </w:pPr>
            <w:r w:rsidRPr="00454DF6">
              <w:rPr>
                <w:rFonts w:ascii="Times New Roman" w:hAnsi="Times New Roman" w:cs="Times New Roman"/>
                <w:b/>
                <w:bCs/>
                <w:i/>
                <w:iCs/>
                <w:color w:val="1F4E79" w:themeColor="accent5" w:themeShade="80"/>
                <w:sz w:val="24"/>
                <w:szCs w:val="24"/>
              </w:rPr>
              <w:t>ABSTRACT</w:t>
            </w:r>
          </w:p>
        </w:tc>
      </w:tr>
      <w:tr w:rsidR="00591626" w:rsidRPr="00101099" w14:paraId="3CCBA488" w14:textId="77777777" w:rsidTr="000A1C13">
        <w:tc>
          <w:tcPr>
            <w:tcW w:w="1236" w:type="pct"/>
          </w:tcPr>
          <w:p w14:paraId="05D226AB" w14:textId="77777777" w:rsidR="00591626" w:rsidRPr="00454DF6" w:rsidRDefault="0014529D" w:rsidP="00DB363A">
            <w:pPr>
              <w:spacing w:line="276" w:lineRule="auto"/>
              <w:jc w:val="both"/>
              <w:rPr>
                <w:rFonts w:ascii="Times New Roman" w:hAnsi="Times New Roman" w:cs="Times New Roman"/>
                <w:b/>
                <w:bCs/>
                <w:i/>
                <w:iCs/>
                <w:color w:val="1F4E79" w:themeColor="accent5" w:themeShade="80"/>
                <w:sz w:val="18"/>
                <w:szCs w:val="18"/>
              </w:rPr>
            </w:pPr>
            <w:r w:rsidRPr="00454DF6">
              <w:rPr>
                <w:rFonts w:ascii="Times New Roman" w:hAnsi="Times New Roman" w:cs="Times New Roman"/>
                <w:b/>
                <w:bCs/>
                <w:i/>
                <w:iCs/>
                <w:color w:val="1F4E79" w:themeColor="accent5" w:themeShade="80"/>
                <w:sz w:val="18"/>
                <w:szCs w:val="18"/>
              </w:rPr>
              <w:t>ORIGINAL</w:t>
            </w:r>
            <w:r w:rsidR="00DE40C4" w:rsidRPr="00454DF6">
              <w:rPr>
                <w:rFonts w:ascii="Times New Roman" w:hAnsi="Times New Roman" w:cs="Times New Roman"/>
                <w:b/>
                <w:bCs/>
                <w:i/>
                <w:iCs/>
                <w:color w:val="1F4E79" w:themeColor="accent5" w:themeShade="80"/>
                <w:sz w:val="18"/>
                <w:szCs w:val="18"/>
              </w:rPr>
              <w:t xml:space="preserve"> ARTICLE</w:t>
            </w:r>
          </w:p>
          <w:p w14:paraId="6A222245" w14:textId="1FD7E74C" w:rsidR="00591626" w:rsidRPr="00CF0C3D" w:rsidRDefault="00591626" w:rsidP="00DB363A">
            <w:pPr>
              <w:spacing w:line="276" w:lineRule="auto"/>
              <w:jc w:val="both"/>
              <w:rPr>
                <w:rFonts w:ascii="Times New Roman" w:hAnsi="Times New Roman" w:cs="Times New Roman"/>
                <w:i/>
                <w:iCs/>
                <w:sz w:val="18"/>
                <w:szCs w:val="18"/>
              </w:rPr>
            </w:pPr>
            <w:r w:rsidRPr="00CF0C3D">
              <w:rPr>
                <w:rFonts w:ascii="Times New Roman" w:hAnsi="Times New Roman" w:cs="Times New Roman"/>
                <w:i/>
                <w:iCs/>
                <w:sz w:val="18"/>
                <w:szCs w:val="18"/>
              </w:rPr>
              <w:t xml:space="preserve">Received: </w:t>
            </w:r>
            <w:r w:rsidR="00CD572D" w:rsidRPr="00CF0C3D">
              <w:rPr>
                <w:rFonts w:ascii="Times New Roman" w:hAnsi="Times New Roman" w:cs="Times New Roman"/>
                <w:i/>
                <w:iCs/>
                <w:sz w:val="18"/>
                <w:szCs w:val="18"/>
              </w:rPr>
              <w:t>0</w:t>
            </w:r>
            <w:r w:rsidR="00E06057">
              <w:rPr>
                <w:rFonts w:ascii="Times New Roman" w:hAnsi="Times New Roman" w:cs="Times New Roman"/>
                <w:i/>
                <w:iCs/>
                <w:sz w:val="18"/>
                <w:szCs w:val="18"/>
              </w:rPr>
              <w:t>8</w:t>
            </w:r>
            <w:r w:rsidR="00CD572D" w:rsidRPr="00CF0C3D">
              <w:rPr>
                <w:rFonts w:ascii="Times New Roman" w:hAnsi="Times New Roman" w:cs="Times New Roman"/>
                <w:i/>
                <w:iCs/>
                <w:sz w:val="18"/>
                <w:szCs w:val="18"/>
              </w:rPr>
              <w:t>-</w:t>
            </w:r>
            <w:r w:rsidR="001173A5">
              <w:rPr>
                <w:rFonts w:ascii="Times New Roman" w:hAnsi="Times New Roman" w:cs="Times New Roman"/>
                <w:i/>
                <w:iCs/>
                <w:sz w:val="18"/>
                <w:szCs w:val="18"/>
              </w:rPr>
              <w:t>0</w:t>
            </w:r>
            <w:r w:rsidR="007D42E0">
              <w:rPr>
                <w:rFonts w:ascii="Times New Roman" w:hAnsi="Times New Roman" w:cs="Times New Roman"/>
                <w:i/>
                <w:iCs/>
                <w:sz w:val="18"/>
                <w:szCs w:val="18"/>
              </w:rPr>
              <w:t>5</w:t>
            </w:r>
            <w:r w:rsidR="00CD572D" w:rsidRPr="00CF0C3D">
              <w:rPr>
                <w:rFonts w:ascii="Times New Roman" w:hAnsi="Times New Roman" w:cs="Times New Roman"/>
                <w:i/>
                <w:iCs/>
                <w:sz w:val="18"/>
                <w:szCs w:val="18"/>
              </w:rPr>
              <w:t>-202</w:t>
            </w:r>
            <w:r w:rsidR="00735238">
              <w:rPr>
                <w:rFonts w:ascii="Times New Roman" w:hAnsi="Times New Roman" w:cs="Times New Roman"/>
                <w:i/>
                <w:iCs/>
                <w:sz w:val="18"/>
                <w:szCs w:val="18"/>
              </w:rPr>
              <w:t>6</w:t>
            </w:r>
          </w:p>
          <w:p w14:paraId="3A899B17" w14:textId="48467543" w:rsidR="00591626" w:rsidRPr="00CF0C3D" w:rsidRDefault="00591626" w:rsidP="00DB363A">
            <w:pPr>
              <w:spacing w:line="276" w:lineRule="auto"/>
              <w:jc w:val="both"/>
              <w:rPr>
                <w:rFonts w:ascii="Times New Roman" w:hAnsi="Times New Roman" w:cs="Times New Roman"/>
                <w:i/>
                <w:iCs/>
                <w:sz w:val="18"/>
                <w:szCs w:val="18"/>
              </w:rPr>
            </w:pPr>
            <w:r w:rsidRPr="00CF0C3D">
              <w:rPr>
                <w:rFonts w:ascii="Times New Roman" w:hAnsi="Times New Roman" w:cs="Times New Roman"/>
                <w:i/>
                <w:iCs/>
                <w:sz w:val="18"/>
                <w:szCs w:val="18"/>
              </w:rPr>
              <w:t xml:space="preserve">Accepted: </w:t>
            </w:r>
            <w:r w:rsidR="00030204">
              <w:rPr>
                <w:rFonts w:ascii="Times New Roman" w:hAnsi="Times New Roman" w:cs="Times New Roman"/>
                <w:i/>
                <w:iCs/>
                <w:sz w:val="18"/>
                <w:szCs w:val="18"/>
              </w:rPr>
              <w:t>0</w:t>
            </w:r>
            <w:r w:rsidR="00E06057">
              <w:rPr>
                <w:rFonts w:ascii="Times New Roman" w:hAnsi="Times New Roman" w:cs="Times New Roman"/>
                <w:i/>
                <w:iCs/>
                <w:sz w:val="18"/>
                <w:szCs w:val="18"/>
              </w:rPr>
              <w:t>9</w:t>
            </w:r>
            <w:r w:rsidR="00CD572D" w:rsidRPr="00CF0C3D">
              <w:rPr>
                <w:rFonts w:ascii="Times New Roman" w:hAnsi="Times New Roman" w:cs="Times New Roman"/>
                <w:i/>
                <w:iCs/>
                <w:sz w:val="18"/>
                <w:szCs w:val="18"/>
              </w:rPr>
              <w:t>-</w:t>
            </w:r>
            <w:r w:rsidR="00735238">
              <w:rPr>
                <w:rFonts w:ascii="Times New Roman" w:hAnsi="Times New Roman" w:cs="Times New Roman"/>
                <w:i/>
                <w:iCs/>
                <w:sz w:val="18"/>
                <w:szCs w:val="18"/>
              </w:rPr>
              <w:t>0</w:t>
            </w:r>
            <w:r w:rsidR="007D42E0">
              <w:rPr>
                <w:rFonts w:ascii="Times New Roman" w:hAnsi="Times New Roman" w:cs="Times New Roman"/>
                <w:i/>
                <w:iCs/>
                <w:sz w:val="18"/>
                <w:szCs w:val="18"/>
              </w:rPr>
              <w:t>7</w:t>
            </w:r>
            <w:r w:rsidR="00CD572D" w:rsidRPr="00CF0C3D">
              <w:rPr>
                <w:rFonts w:ascii="Times New Roman" w:hAnsi="Times New Roman" w:cs="Times New Roman"/>
                <w:i/>
                <w:iCs/>
                <w:sz w:val="18"/>
                <w:szCs w:val="18"/>
              </w:rPr>
              <w:t>-202</w:t>
            </w:r>
            <w:r w:rsidR="00735238">
              <w:rPr>
                <w:rFonts w:ascii="Times New Roman" w:hAnsi="Times New Roman" w:cs="Times New Roman"/>
                <w:i/>
                <w:iCs/>
                <w:sz w:val="18"/>
                <w:szCs w:val="18"/>
              </w:rPr>
              <w:t>6</w:t>
            </w:r>
          </w:p>
          <w:p w14:paraId="4C0F9C05" w14:textId="77777777" w:rsidR="00591626" w:rsidRDefault="00591626" w:rsidP="00DB363A">
            <w:pPr>
              <w:spacing w:line="276" w:lineRule="auto"/>
              <w:jc w:val="both"/>
              <w:rPr>
                <w:rFonts w:ascii="Times New Roman" w:hAnsi="Times New Roman" w:cs="Times New Roman"/>
                <w:sz w:val="18"/>
                <w:szCs w:val="18"/>
              </w:rPr>
            </w:pPr>
          </w:p>
          <w:p w14:paraId="0DE13D6B" w14:textId="77777777" w:rsidR="00591626" w:rsidRPr="00101099" w:rsidRDefault="00591626" w:rsidP="00DB363A">
            <w:pPr>
              <w:spacing w:line="276" w:lineRule="auto"/>
              <w:jc w:val="both"/>
              <w:rPr>
                <w:rFonts w:ascii="Times New Roman" w:hAnsi="Times New Roman" w:cs="Times New Roman"/>
                <w:sz w:val="18"/>
                <w:szCs w:val="18"/>
              </w:rPr>
            </w:pPr>
          </w:p>
          <w:p w14:paraId="14FDDDEF" w14:textId="77777777" w:rsidR="00591626" w:rsidRPr="00CF0C3D" w:rsidRDefault="00591626" w:rsidP="00DB363A">
            <w:pPr>
              <w:spacing w:line="276" w:lineRule="auto"/>
              <w:jc w:val="both"/>
              <w:rPr>
                <w:rFonts w:ascii="Times New Roman" w:hAnsi="Times New Roman" w:cs="Times New Roman"/>
                <w:b/>
                <w:bCs/>
                <w:i/>
                <w:iCs/>
                <w:sz w:val="18"/>
                <w:szCs w:val="18"/>
              </w:rPr>
            </w:pPr>
            <w:r w:rsidRPr="00454DF6">
              <w:rPr>
                <w:rFonts w:ascii="Times New Roman" w:hAnsi="Times New Roman" w:cs="Times New Roman"/>
                <w:b/>
                <w:bCs/>
                <w:i/>
                <w:iCs/>
                <w:color w:val="1F4E79" w:themeColor="accent5" w:themeShade="80"/>
                <w:sz w:val="18"/>
                <w:szCs w:val="18"/>
              </w:rPr>
              <w:t>KEYWORDS</w:t>
            </w:r>
          </w:p>
          <w:p w14:paraId="6A37C5CE" w14:textId="2A2DDAD3" w:rsidR="00524919" w:rsidRPr="00B73D34" w:rsidRDefault="00236F8D" w:rsidP="00DB363A">
            <w:pPr>
              <w:spacing w:line="276" w:lineRule="auto"/>
              <w:jc w:val="both"/>
              <w:rPr>
                <w:rFonts w:ascii="Times" w:hAnsi="Times"/>
                <w:i/>
                <w:iCs/>
                <w:lang w:val="en-IN"/>
              </w:rPr>
            </w:pPr>
            <w:r w:rsidRPr="00462109">
              <w:rPr>
                <w:rFonts w:ascii="Times New Roman" w:hAnsi="Times New Roman" w:cs="Times New Roman"/>
                <w:i/>
              </w:rPr>
              <w:t>Visual health, gut microbiota, metabolism, nutrition, bile acids</w:t>
            </w:r>
          </w:p>
          <w:p w14:paraId="78AC6193" w14:textId="77777777" w:rsidR="00591626" w:rsidRPr="00101099" w:rsidRDefault="00591626" w:rsidP="00DB363A">
            <w:pPr>
              <w:spacing w:line="276" w:lineRule="auto"/>
              <w:jc w:val="both"/>
              <w:rPr>
                <w:rFonts w:ascii="Times New Roman" w:hAnsi="Times New Roman" w:cs="Times New Roman"/>
                <w:sz w:val="24"/>
                <w:szCs w:val="24"/>
              </w:rPr>
            </w:pPr>
          </w:p>
        </w:tc>
        <w:tc>
          <w:tcPr>
            <w:tcW w:w="3764" w:type="pct"/>
            <w:shd w:val="clear" w:color="auto" w:fill="F2F2F2" w:themeFill="background1" w:themeFillShade="F2"/>
          </w:tcPr>
          <w:p w14:paraId="0A5011E8" w14:textId="3FA97409" w:rsidR="00591626" w:rsidRPr="00434B95" w:rsidRDefault="00236F8D" w:rsidP="00DB363A">
            <w:pPr>
              <w:spacing w:line="276" w:lineRule="auto"/>
              <w:jc w:val="both"/>
              <w:rPr>
                <w:rFonts w:ascii="Times" w:hAnsi="Times"/>
                <w:szCs w:val="22"/>
                <w:lang w:val="en-IN"/>
              </w:rPr>
            </w:pPr>
            <w:r w:rsidRPr="00434B95">
              <w:rPr>
                <w:rStyle w:val="cursor-pointer"/>
                <w:rFonts w:ascii="Geist Fallback" w:hAnsi="Geist Fallback"/>
                <w:szCs w:val="22"/>
              </w:rPr>
              <w:t>Ocular surface diseases, such as dry eye disease (DED), represent a common pathology in the population and have recently gained recognition as systemic diseases rather than focal diseases.</w:t>
            </w:r>
            <w:r w:rsidRPr="00434B95">
              <w:rPr>
                <w:rFonts w:ascii="Geist Fallback" w:hAnsi="Geist Fallback"/>
                <w:szCs w:val="22"/>
              </w:rPr>
              <w:t xml:space="preserve"> </w:t>
            </w:r>
            <w:r w:rsidRPr="00434B95">
              <w:rPr>
                <w:rStyle w:val="cursor-pointer"/>
                <w:rFonts w:ascii="Geist Fallback" w:hAnsi="Geist Fallback"/>
                <w:szCs w:val="22"/>
              </w:rPr>
              <w:t>Recent studies have pointed out the role played by an important gut microbiota metabolite-mediated crosstalk in the maintenance of ocular surface homeostasis, particularly in the context of obesity and metabolic derangements.</w:t>
            </w:r>
            <w:r w:rsidRPr="00434B95">
              <w:rPr>
                <w:rFonts w:ascii="Geist Fallback" w:hAnsi="Geist Fallback"/>
                <w:szCs w:val="22"/>
              </w:rPr>
              <w:t xml:space="preserve"> </w:t>
            </w:r>
            <w:r w:rsidRPr="00434B95">
              <w:rPr>
                <w:rStyle w:val="cursor-pointer"/>
                <w:rFonts w:ascii="Geist Fallback" w:hAnsi="Geist Fallback"/>
                <w:szCs w:val="22"/>
              </w:rPr>
              <w:t>Abundantly documented have been the detrimental impacts of obesity-related nutrient and dietary imbalances to maintain gut microbial diversity and how through systemic inflammation, microbial dysbiosis can also reach the eye and influence pathogenesis in the eye.</w:t>
            </w:r>
            <w:r w:rsidRPr="00434B95">
              <w:rPr>
                <w:rFonts w:ascii="Geist Fallback" w:hAnsi="Geist Fallback"/>
                <w:szCs w:val="22"/>
              </w:rPr>
              <w:t xml:space="preserve"> </w:t>
            </w:r>
            <w:r w:rsidRPr="00434B95">
              <w:rPr>
                <w:rStyle w:val="cursor-pointer"/>
                <w:rFonts w:ascii="Geist Fallback" w:hAnsi="Geist Fallback"/>
                <w:szCs w:val="22"/>
              </w:rPr>
              <w:t>We here discuss the nascent idea of the gut-eye axis, specifically the ability of metabolites generated in the gut and obesogenic diets to influence aspects of immune function and ocular surface health.</w:t>
            </w:r>
            <w:r w:rsidRPr="00434B95">
              <w:rPr>
                <w:rFonts w:ascii="Geist Fallback" w:hAnsi="Geist Fallback"/>
                <w:szCs w:val="22"/>
              </w:rPr>
              <w:t xml:space="preserve"> </w:t>
            </w:r>
            <w:r w:rsidRPr="00434B95">
              <w:rPr>
                <w:rStyle w:val="cursor-pointer"/>
                <w:rFonts w:ascii="Geist Fallback" w:hAnsi="Geist Fallback"/>
                <w:szCs w:val="22"/>
              </w:rPr>
              <w:t>Notably, micronutrients (selenium and calcium), which may interact with gut microbiome possibly influence ocular diseases (e.g. thyroid orbitopathy).</w:t>
            </w:r>
            <w:r w:rsidRPr="00434B95">
              <w:rPr>
                <w:rFonts w:ascii="Geist Fallback" w:hAnsi="Geist Fallback"/>
                <w:szCs w:val="22"/>
              </w:rPr>
              <w:t xml:space="preserve"> </w:t>
            </w:r>
            <w:r w:rsidRPr="00434B95">
              <w:rPr>
                <w:rStyle w:val="cursor-pointer"/>
                <w:rFonts w:ascii="Geist Fallback" w:hAnsi="Geist Fallback"/>
                <w:szCs w:val="22"/>
              </w:rPr>
              <w:t>Common obesity co-morbidity diabetes mellitus also has been associated with alterations in gut and ocular surface microbiota, further supporting a potential association between metabolic health and pathogenesis of ocular disease.</w:t>
            </w:r>
            <w:r w:rsidRPr="00434B95">
              <w:rPr>
                <w:rFonts w:ascii="Geist Fallback" w:hAnsi="Geist Fallback"/>
                <w:szCs w:val="22"/>
              </w:rPr>
              <w:t xml:space="preserve"> </w:t>
            </w:r>
            <w:r w:rsidRPr="00434B95">
              <w:rPr>
                <w:rStyle w:val="cursor-pointer"/>
                <w:rFonts w:ascii="Geist Fallback" w:hAnsi="Geist Fallback"/>
                <w:szCs w:val="22"/>
              </w:rPr>
              <w:t xml:space="preserve">An understanding of these interactions could help to identify novel therapeutic targets for which nutritional and microbiome targeting treatments could be </w:t>
            </w:r>
            <w:proofErr w:type="spellStart"/>
            <w:r w:rsidRPr="00434B95">
              <w:rPr>
                <w:rStyle w:val="cursor-pointer"/>
                <w:rFonts w:ascii="Geist Fallback" w:hAnsi="Geist Fallback"/>
                <w:szCs w:val="22"/>
              </w:rPr>
              <w:t>synergised</w:t>
            </w:r>
            <w:proofErr w:type="spellEnd"/>
            <w:r w:rsidRPr="00434B95">
              <w:rPr>
                <w:rStyle w:val="cursor-pointer"/>
                <w:rFonts w:ascii="Geist Fallback" w:hAnsi="Geist Fallback"/>
                <w:szCs w:val="22"/>
              </w:rPr>
              <w:t xml:space="preserve"> for improved metabolic and ocular health.</w:t>
            </w:r>
            <w:r w:rsidRPr="00434B95">
              <w:rPr>
                <w:rFonts w:ascii="Geist Fallback" w:hAnsi="Geist Fallback"/>
                <w:szCs w:val="22"/>
              </w:rPr>
              <w:t xml:space="preserve"> </w:t>
            </w:r>
            <w:r w:rsidRPr="00434B95">
              <w:rPr>
                <w:rStyle w:val="cursor-pointer"/>
                <w:rFonts w:ascii="Geist Fallback" w:hAnsi="Geist Fallback"/>
                <w:szCs w:val="22"/>
              </w:rPr>
              <w:t>However, there is a need for further research to establish cause and effect and to create nutrition-based interventions in dry eye disease in obese and metabolically disordered populations</w:t>
            </w:r>
            <w:r w:rsidRPr="00434B95">
              <w:rPr>
                <w:rFonts w:ascii="Times New Roman" w:hAnsi="Times New Roman" w:cs="Times New Roman"/>
                <w:szCs w:val="22"/>
              </w:rPr>
              <w:t>.</w:t>
            </w:r>
          </w:p>
        </w:tc>
      </w:tr>
    </w:tbl>
    <w:p w14:paraId="6B73D889" w14:textId="77777777" w:rsidR="000D6D72" w:rsidRDefault="000D6D72" w:rsidP="00DB363A">
      <w:pPr>
        <w:pStyle w:val="Heading1"/>
        <w:spacing w:after="160" w:line="276" w:lineRule="auto"/>
        <w:ind w:left="0"/>
        <w:jc w:val="both"/>
        <w:rPr>
          <w:rFonts w:ascii="Times New Roman" w:hAnsi="Times New Roman" w:cs="Times New Roman"/>
          <w:b/>
          <w:bCs/>
          <w:color w:val="2F5496" w:themeColor="accent1" w:themeShade="BF"/>
          <w:sz w:val="24"/>
          <w:szCs w:val="24"/>
        </w:rPr>
      </w:pPr>
    </w:p>
    <w:p w14:paraId="7417FFD1" w14:textId="77777777" w:rsidR="00EF29AA" w:rsidRDefault="00EF29AA" w:rsidP="00DB363A">
      <w:pPr>
        <w:pStyle w:val="Heading1"/>
        <w:spacing w:after="160" w:line="276" w:lineRule="auto"/>
        <w:ind w:left="0"/>
        <w:jc w:val="both"/>
        <w:rPr>
          <w:rFonts w:ascii="Times New Roman" w:hAnsi="Times New Roman" w:cs="Times New Roman"/>
          <w:b/>
          <w:bCs/>
          <w:color w:val="2F5496" w:themeColor="accent1" w:themeShade="BF"/>
          <w:sz w:val="24"/>
          <w:szCs w:val="24"/>
        </w:rPr>
      </w:pPr>
    </w:p>
    <w:p w14:paraId="24483015" w14:textId="77777777" w:rsidR="006F2072" w:rsidRDefault="00DB59E9" w:rsidP="00DB363A">
      <w:pPr>
        <w:pStyle w:val="Heading1"/>
        <w:spacing w:after="160" w:line="276" w:lineRule="auto"/>
        <w:ind w:left="0"/>
        <w:jc w:val="both"/>
        <w:rPr>
          <w:rFonts w:ascii="Times New Roman" w:hAnsi="Times New Roman" w:cs="Times New Roman"/>
          <w:b/>
          <w:bCs/>
          <w:color w:val="2F5496" w:themeColor="accent1" w:themeShade="BF"/>
          <w:sz w:val="24"/>
          <w:szCs w:val="24"/>
        </w:rPr>
      </w:pPr>
      <w:r w:rsidRPr="00FC390D">
        <w:rPr>
          <w:rFonts w:ascii="Times New Roman" w:hAnsi="Times New Roman" w:cs="Times New Roman"/>
          <w:b/>
          <w:bCs/>
          <w:color w:val="2F5496" w:themeColor="accent1" w:themeShade="BF"/>
          <w:sz w:val="24"/>
          <w:szCs w:val="24"/>
        </w:rPr>
        <w:t>Graphical Abstract:</w:t>
      </w:r>
    </w:p>
    <w:p w14:paraId="65A45A42" w14:textId="77777777" w:rsidR="005864E5" w:rsidRDefault="005864E5" w:rsidP="00DB363A">
      <w:pPr>
        <w:pStyle w:val="Heading1"/>
        <w:spacing w:after="160" w:line="276" w:lineRule="auto"/>
        <w:ind w:left="0"/>
        <w:jc w:val="both"/>
        <w:rPr>
          <w:rFonts w:ascii="Times New Roman" w:hAnsi="Times New Roman" w:cs="Times New Roman"/>
          <w:b/>
          <w:bCs/>
          <w:color w:val="2F5496" w:themeColor="accent1" w:themeShade="BF"/>
          <w:sz w:val="24"/>
          <w:szCs w:val="24"/>
        </w:rPr>
      </w:pPr>
    </w:p>
    <w:p w14:paraId="6D278611" w14:textId="77777777" w:rsidR="001544D7" w:rsidRPr="00DB59E9" w:rsidRDefault="001544D7" w:rsidP="00DB363A">
      <w:pPr>
        <w:pStyle w:val="Heading1"/>
        <w:spacing w:after="160" w:line="276" w:lineRule="auto"/>
        <w:ind w:left="0"/>
        <w:jc w:val="both"/>
        <w:rPr>
          <w:rFonts w:ascii="Times New Roman" w:hAnsi="Times New Roman" w:cs="Times New Roman"/>
          <w:b/>
          <w:bCs/>
          <w:color w:val="2F5496" w:themeColor="accent1" w:themeShade="BF"/>
          <w:sz w:val="24"/>
          <w:szCs w:val="24"/>
        </w:rPr>
        <w:sectPr w:rsidR="001544D7" w:rsidRPr="00DB59E9" w:rsidSect="00E546C0">
          <w:footerReference w:type="default" r:id="rId12"/>
          <w:pgSz w:w="11906" w:h="16838" w:code="9"/>
          <w:pgMar w:top="720" w:right="720" w:bottom="720" w:left="720" w:header="720" w:footer="720" w:gutter="0"/>
          <w:pgNumType w:start="1"/>
          <w:cols w:space="2"/>
          <w:docGrid w:linePitch="360"/>
        </w:sectPr>
      </w:pPr>
    </w:p>
    <w:p w14:paraId="204F3E94" w14:textId="77777777" w:rsidR="00923452" w:rsidRPr="003D3D96" w:rsidRDefault="00923452" w:rsidP="00DB363A">
      <w:pPr>
        <w:spacing w:line="276" w:lineRule="auto"/>
        <w:jc w:val="both"/>
        <w:rPr>
          <w:rFonts w:ascii="Times New Roman" w:hAnsi="Times New Roman" w:cs="Times New Roman"/>
          <w:b/>
          <w:bCs/>
          <w:color w:val="2E74B5" w:themeColor="accent5" w:themeShade="BF"/>
        </w:rPr>
      </w:pPr>
      <w:r w:rsidRPr="003D3D96">
        <w:rPr>
          <w:rFonts w:ascii="Times New Roman" w:hAnsi="Times New Roman" w:cs="Times New Roman"/>
          <w:b/>
          <w:bCs/>
          <w:color w:val="2E74B5" w:themeColor="accent5" w:themeShade="BF"/>
        </w:rPr>
        <w:t>1. Introduction</w:t>
      </w:r>
    </w:p>
    <w:p w14:paraId="2181B6F0" w14:textId="3BFC312D" w:rsidR="00AD178E" w:rsidRPr="002210BA" w:rsidRDefault="00434B95" w:rsidP="00DB363A">
      <w:pPr>
        <w:spacing w:line="276" w:lineRule="auto"/>
        <w:jc w:val="both"/>
        <w:rPr>
          <w:rFonts w:ascii="Times New Roman" w:hAnsi="Times New Roman" w:cs="Times New Roman"/>
        </w:rPr>
      </w:pPr>
      <w:r w:rsidRPr="002210BA">
        <w:rPr>
          <w:rStyle w:val="cursor-pointer"/>
          <w:rFonts w:ascii="Geist Fallback" w:hAnsi="Geist Fallback"/>
        </w:rPr>
        <w:t>Eye surface diseases are one of the most important problems in the public health field in developed and developing countries.</w:t>
      </w:r>
      <w:r w:rsidRPr="002210BA">
        <w:rPr>
          <w:rFonts w:ascii="Geist Fallback" w:hAnsi="Geist Fallback"/>
        </w:rPr>
        <w:t xml:space="preserve"> </w:t>
      </w:r>
      <w:r w:rsidRPr="002210BA">
        <w:rPr>
          <w:rStyle w:val="cursor-pointer"/>
          <w:rFonts w:ascii="Geist Fallback" w:hAnsi="Geist Fallback"/>
        </w:rPr>
        <w:t xml:space="preserve">Chronic pain, irritation and aesthetic alterations are very expensive for patients, health care facilities, and society </w:t>
      </w:r>
      <w:r w:rsidR="00276A4E">
        <w:rPr>
          <w:rStyle w:val="cursor-pointer"/>
          <w:rFonts w:ascii="Geist Fallback" w:hAnsi="Geist Fallback"/>
        </w:rPr>
        <w:t>[1]</w:t>
      </w:r>
      <w:r w:rsidRPr="002210BA">
        <w:rPr>
          <w:rStyle w:val="cursor-pointer"/>
          <w:rFonts w:ascii="Geist Fallback" w:hAnsi="Geist Fallback"/>
        </w:rPr>
        <w:t>.</w:t>
      </w:r>
      <w:r w:rsidRPr="002210BA">
        <w:rPr>
          <w:rFonts w:ascii="Geist Fallback" w:hAnsi="Geist Fallback"/>
        </w:rPr>
        <w:t xml:space="preserve"> </w:t>
      </w:r>
      <w:r w:rsidRPr="002210BA">
        <w:rPr>
          <w:rStyle w:val="cursor-pointer"/>
          <w:rFonts w:ascii="Geist Fallback" w:hAnsi="Geist Fallback"/>
        </w:rPr>
        <w:t>Multifactorial DED is caused by disruption of the balance of the tear film, causing damage to the surface cells and hence injury and inflammation of the ocular surface.</w:t>
      </w:r>
      <w:r w:rsidRPr="002210BA">
        <w:rPr>
          <w:rFonts w:ascii="Geist Fallback" w:hAnsi="Geist Fallback"/>
        </w:rPr>
        <w:t xml:space="preserve"> </w:t>
      </w:r>
      <w:r w:rsidRPr="002210BA">
        <w:rPr>
          <w:rStyle w:val="cursor-pointer"/>
          <w:rFonts w:ascii="Geist Fallback" w:hAnsi="Geist Fallback"/>
        </w:rPr>
        <w:t xml:space="preserve">Pathogenic intrinsic and extrinsic factors (environmental stressors, age, hormonal changes, systemic involvement and genetic predisposition) can give rise to complex conditions </w:t>
      </w:r>
      <w:r w:rsidR="00554CD6">
        <w:rPr>
          <w:rStyle w:val="cursor-pointer"/>
          <w:rFonts w:ascii="Geist Fallback" w:hAnsi="Geist Fallback"/>
        </w:rPr>
        <w:t>[2]</w:t>
      </w:r>
      <w:r w:rsidRPr="002210BA">
        <w:rPr>
          <w:rStyle w:val="cursor-pointer"/>
          <w:rFonts w:ascii="Geist Fallback" w:hAnsi="Geist Fallback"/>
        </w:rPr>
        <w:t>.</w:t>
      </w:r>
      <w:r w:rsidRPr="002210BA">
        <w:rPr>
          <w:rFonts w:ascii="Geist Fallback" w:hAnsi="Geist Fallback"/>
        </w:rPr>
        <w:t xml:space="preserve"> </w:t>
      </w:r>
      <w:r w:rsidRPr="002210BA">
        <w:rPr>
          <w:rStyle w:val="cursor-pointer"/>
          <w:rFonts w:ascii="Geist Fallback" w:hAnsi="Geist Fallback"/>
        </w:rPr>
        <w:t>However, growing evidence indicates that gut (and ocular surface) microbiome dysfunction/</w:t>
      </w:r>
      <w:proofErr w:type="spellStart"/>
      <w:r w:rsidRPr="002210BA">
        <w:rPr>
          <w:rStyle w:val="cursor-pointer"/>
          <w:rFonts w:ascii="Geist Fallback" w:hAnsi="Geist Fallback"/>
        </w:rPr>
        <w:t>autodysbiosis</w:t>
      </w:r>
      <w:proofErr w:type="spellEnd"/>
      <w:r w:rsidRPr="002210BA">
        <w:rPr>
          <w:rStyle w:val="cursor-pointer"/>
          <w:rFonts w:ascii="Geist Fallback" w:hAnsi="Geist Fallback"/>
        </w:rPr>
        <w:t xml:space="preserve"> could be a factor in DED.</w:t>
      </w:r>
      <w:r w:rsidRPr="002210BA">
        <w:rPr>
          <w:rFonts w:ascii="Geist Fallback" w:hAnsi="Geist Fallback"/>
        </w:rPr>
        <w:t xml:space="preserve"> </w:t>
      </w:r>
      <w:r w:rsidRPr="002210BA">
        <w:rPr>
          <w:rStyle w:val="cursor-pointer"/>
          <w:rFonts w:ascii="Geist Fallback" w:hAnsi="Geist Fallback"/>
        </w:rPr>
        <w:t>DED prevalence is increasing as demonstrated by epidemiological data.</w:t>
      </w:r>
      <w:r w:rsidRPr="002210BA">
        <w:rPr>
          <w:rFonts w:ascii="Geist Fallback" w:hAnsi="Geist Fallback"/>
        </w:rPr>
        <w:t xml:space="preserve"> </w:t>
      </w:r>
      <w:r w:rsidRPr="002210BA">
        <w:rPr>
          <w:rStyle w:val="cursor-pointer"/>
          <w:rFonts w:ascii="Geist Fallback" w:hAnsi="Geist Fallback"/>
        </w:rPr>
        <w:t>Dry eye is a problem with around hundreds of millions of people around the world.</w:t>
      </w:r>
      <w:r w:rsidRPr="002210BA">
        <w:rPr>
          <w:rFonts w:ascii="Geist Fallback" w:hAnsi="Geist Fallback"/>
        </w:rPr>
        <w:t xml:space="preserve"> </w:t>
      </w:r>
      <w:r w:rsidRPr="002210BA">
        <w:rPr>
          <w:rStyle w:val="cursor-pointer"/>
          <w:rFonts w:ascii="Geist Fallback" w:hAnsi="Geist Fallback"/>
        </w:rPr>
        <w:t>The prevalence studies indicate that 5-35% of people over 50 are affected by DED.</w:t>
      </w:r>
      <w:r w:rsidRPr="002210BA">
        <w:rPr>
          <w:rFonts w:ascii="Geist Fallback" w:hAnsi="Geist Fallback"/>
        </w:rPr>
        <w:t xml:space="preserve"> </w:t>
      </w:r>
      <w:r w:rsidRPr="002210BA">
        <w:rPr>
          <w:rStyle w:val="cursor-pointer"/>
          <w:rFonts w:ascii="Geist Fallback" w:hAnsi="Geist Fallback"/>
        </w:rPr>
        <w:t xml:space="preserve">Women with hormonal imbalance are known to be more susceptible with regard to metabolism related disorders </w:t>
      </w:r>
      <w:r w:rsidR="00D24F46">
        <w:rPr>
          <w:rStyle w:val="cursor-pointer"/>
          <w:rFonts w:ascii="Geist Fallback" w:hAnsi="Geist Fallback"/>
        </w:rPr>
        <w:t>[3]</w:t>
      </w:r>
      <w:r w:rsidRPr="002210BA">
        <w:rPr>
          <w:rStyle w:val="cursor-pointer"/>
          <w:rFonts w:ascii="Geist Fallback" w:hAnsi="Geist Fallback"/>
        </w:rPr>
        <w:t>.</w:t>
      </w:r>
      <w:r w:rsidRPr="002210BA">
        <w:rPr>
          <w:rFonts w:ascii="Geist Fallback" w:hAnsi="Geist Fallback"/>
        </w:rPr>
        <w:t xml:space="preserve"> </w:t>
      </w:r>
      <w:r w:rsidRPr="002210BA">
        <w:rPr>
          <w:rStyle w:val="cursor-pointer"/>
          <w:rFonts w:ascii="Geist Fallback" w:hAnsi="Geist Fallback"/>
        </w:rPr>
        <w:t xml:space="preserve">The changes in hormones around menopause are adversely affecting women more than men since they reduce the ability to produce tears </w:t>
      </w:r>
      <w:r w:rsidR="00B55E7D">
        <w:rPr>
          <w:rStyle w:val="cursor-pointer"/>
          <w:rFonts w:ascii="Geist Fallback" w:hAnsi="Geist Fallback"/>
        </w:rPr>
        <w:t>[4]</w:t>
      </w:r>
      <w:r w:rsidRPr="002210BA">
        <w:rPr>
          <w:rStyle w:val="cursor-pointer"/>
          <w:rFonts w:ascii="Geist Fallback" w:hAnsi="Geist Fallback"/>
        </w:rPr>
        <w:t>.</w:t>
      </w:r>
      <w:r w:rsidRPr="002210BA">
        <w:rPr>
          <w:rFonts w:ascii="Geist Fallback" w:hAnsi="Geist Fallback"/>
        </w:rPr>
        <w:t xml:space="preserve"> </w:t>
      </w:r>
      <w:r w:rsidRPr="002210BA">
        <w:rPr>
          <w:rStyle w:val="cursor-pointer"/>
          <w:rFonts w:ascii="Geist Fallback" w:hAnsi="Geist Fallback"/>
        </w:rPr>
        <w:t>Other risk factors include long screen time, air pollution and dry or windy places.</w:t>
      </w:r>
      <w:r w:rsidRPr="002210BA">
        <w:rPr>
          <w:rFonts w:ascii="Geist Fallback" w:hAnsi="Geist Fallback"/>
        </w:rPr>
        <w:t xml:space="preserve"> </w:t>
      </w:r>
      <w:r w:rsidRPr="002210BA">
        <w:rPr>
          <w:rStyle w:val="cursor-pointer"/>
          <w:rFonts w:ascii="Geist Fallback" w:hAnsi="Geist Fallback"/>
        </w:rPr>
        <w:t>Dry eye may be a risk factor in autoimmune disorders such as Sjögren's syndrome and rheumatoid arthritis.</w:t>
      </w:r>
      <w:r w:rsidRPr="002210BA">
        <w:rPr>
          <w:rFonts w:ascii="Geist Fallback" w:hAnsi="Geist Fallback"/>
        </w:rPr>
        <w:t xml:space="preserve"> </w:t>
      </w:r>
      <w:r w:rsidRPr="002210BA">
        <w:rPr>
          <w:rStyle w:val="cursor-pointer"/>
          <w:rFonts w:ascii="Geist Fallback" w:hAnsi="Geist Fallback"/>
        </w:rPr>
        <w:t>DED is a common condition, its pathogenesis is not well understood, and diagnosis and treatment is difficult.</w:t>
      </w:r>
      <w:r w:rsidRPr="002210BA">
        <w:rPr>
          <w:rFonts w:ascii="Geist Fallback" w:hAnsi="Geist Fallback"/>
        </w:rPr>
        <w:t xml:space="preserve"> </w:t>
      </w:r>
      <w:proofErr w:type="spellStart"/>
      <w:r w:rsidRPr="002210BA">
        <w:rPr>
          <w:rStyle w:val="cursor-pointer"/>
          <w:rFonts w:ascii="Geist Fallback" w:hAnsi="Geist Fallback"/>
        </w:rPr>
        <w:t>Localised</w:t>
      </w:r>
      <w:proofErr w:type="spellEnd"/>
      <w:r w:rsidRPr="002210BA">
        <w:rPr>
          <w:rStyle w:val="cursor-pointer"/>
          <w:rFonts w:ascii="Geist Fallback" w:hAnsi="Geist Fallback"/>
        </w:rPr>
        <w:t xml:space="preserve"> inflammation and dysfunction of the ocular surface and symptomatic treatment with artificial tears, anti-inflammatory treatment and punctal plugs have been used in the treatment of DED </w:t>
      </w:r>
      <w:r w:rsidR="00A13D67">
        <w:rPr>
          <w:rStyle w:val="cursor-pointer"/>
          <w:rFonts w:ascii="Geist Fallback" w:hAnsi="Geist Fallback"/>
        </w:rPr>
        <w:t>[5]</w:t>
      </w:r>
      <w:r w:rsidRPr="002210BA">
        <w:rPr>
          <w:rStyle w:val="cursor-pointer"/>
          <w:rFonts w:ascii="Geist Fallback" w:hAnsi="Geist Fallback"/>
        </w:rPr>
        <w:t>.</w:t>
      </w:r>
      <w:r w:rsidRPr="002210BA">
        <w:rPr>
          <w:rFonts w:ascii="Geist Fallback" w:hAnsi="Geist Fallback"/>
        </w:rPr>
        <w:t xml:space="preserve"> </w:t>
      </w:r>
      <w:r w:rsidRPr="002210BA">
        <w:rPr>
          <w:rStyle w:val="cursor-pointer"/>
          <w:rFonts w:ascii="Geist Fallback" w:hAnsi="Geist Fallback"/>
        </w:rPr>
        <w:t>More recently, studies have demonstrated that systemic factors, especially the gut microbiome, have an impact on eye health.</w:t>
      </w:r>
      <w:r w:rsidRPr="002210BA">
        <w:rPr>
          <w:rFonts w:ascii="Geist Fallback" w:hAnsi="Geist Fallback"/>
        </w:rPr>
        <w:t xml:space="preserve"> </w:t>
      </w:r>
      <w:r w:rsidRPr="002210BA">
        <w:rPr>
          <w:rStyle w:val="cursor-pointer"/>
          <w:rFonts w:ascii="Geist Fallback" w:hAnsi="Geist Fallback"/>
        </w:rPr>
        <w:t>The gut microbiota consists of one trillion organisms and plays a role in maintaining systemic homeostasis and immunological function and therefore protects health.</w:t>
      </w:r>
      <w:r w:rsidRPr="002210BA">
        <w:rPr>
          <w:rFonts w:ascii="Geist Fallback" w:hAnsi="Geist Fallback"/>
        </w:rPr>
        <w:t xml:space="preserve"> </w:t>
      </w:r>
      <w:r w:rsidRPr="002210BA">
        <w:rPr>
          <w:rStyle w:val="cursor-pointer"/>
          <w:rFonts w:ascii="Geist Fallback" w:hAnsi="Geist Fallback"/>
        </w:rPr>
        <w:t>DED has been associated with a dysbiosis of the microbiome of the human gut.</w:t>
      </w:r>
      <w:r w:rsidRPr="002210BA">
        <w:rPr>
          <w:rFonts w:ascii="Geist Fallback" w:hAnsi="Geist Fallback"/>
        </w:rPr>
        <w:t xml:space="preserve"> </w:t>
      </w:r>
      <w:r w:rsidRPr="002210BA">
        <w:rPr>
          <w:rStyle w:val="cursor-pointer"/>
          <w:rFonts w:ascii="Geist Fallback" w:hAnsi="Geist Fallback"/>
        </w:rPr>
        <w:t xml:space="preserve">The gut affects the ocular surface through metabolism, immunity and decreased systemic inflammation </w:t>
      </w:r>
      <w:r w:rsidR="008D72FB">
        <w:rPr>
          <w:rStyle w:val="cursor-pointer"/>
          <w:rFonts w:ascii="Geist Fallback" w:hAnsi="Geist Fallback"/>
        </w:rPr>
        <w:t>[6]</w:t>
      </w:r>
      <w:r w:rsidRPr="002210BA">
        <w:rPr>
          <w:rStyle w:val="cursor-pointer"/>
          <w:rFonts w:ascii="Geist Fallback" w:hAnsi="Geist Fallback"/>
        </w:rPr>
        <w:t>.</w:t>
      </w:r>
      <w:r w:rsidRPr="002210BA">
        <w:rPr>
          <w:rFonts w:ascii="Geist Fallback" w:hAnsi="Geist Fallback"/>
        </w:rPr>
        <w:t xml:space="preserve"> </w:t>
      </w:r>
      <w:r w:rsidRPr="002210BA">
        <w:rPr>
          <w:rStyle w:val="cursor-pointer"/>
          <w:rFonts w:ascii="Geist Fallback" w:hAnsi="Geist Fallback"/>
        </w:rPr>
        <w:t>There is a unique eye biome.</w:t>
      </w:r>
      <w:r w:rsidRPr="002210BA">
        <w:rPr>
          <w:rFonts w:ascii="Geist Fallback" w:hAnsi="Geist Fallback"/>
        </w:rPr>
        <w:t xml:space="preserve"> </w:t>
      </w:r>
      <w:r w:rsidRPr="002210BA">
        <w:rPr>
          <w:rStyle w:val="cursor-pointer"/>
          <w:rFonts w:ascii="Geist Fallback" w:hAnsi="Geist Fallback"/>
        </w:rPr>
        <w:t xml:space="preserve">Enhanced suggestive cross talk between gut and ocular microbiome is suggestive of a novel mechanism by which gut metabolites can </w:t>
      </w:r>
      <w:r w:rsidRPr="002210BA">
        <w:rPr>
          <w:rStyle w:val="cursor-pointer"/>
          <w:rFonts w:ascii="Geist Fallback" w:hAnsi="Geist Fallback"/>
        </w:rPr>
        <w:t>contribute to ocular health and a connection between gut dysbiosis and ocular surface inflammation and disease.</w:t>
      </w:r>
      <w:r w:rsidRPr="002210BA">
        <w:rPr>
          <w:rFonts w:ascii="Geist Fallback" w:hAnsi="Geist Fallback"/>
        </w:rPr>
        <w:t xml:space="preserve"> </w:t>
      </w:r>
      <w:r w:rsidRPr="002210BA">
        <w:rPr>
          <w:rStyle w:val="cursor-pointer"/>
          <w:rFonts w:ascii="Geist Fallback" w:hAnsi="Geist Fallback"/>
        </w:rPr>
        <w:t xml:space="preserve">Research into the role played by gut microbiota-derived metabolites in the health of the eye is an interesting topic </w:t>
      </w:r>
      <w:r w:rsidR="0081576F">
        <w:rPr>
          <w:rStyle w:val="cursor-pointer"/>
          <w:rFonts w:ascii="Geist Fallback" w:hAnsi="Geist Fallback"/>
        </w:rPr>
        <w:t>[7]</w:t>
      </w:r>
      <w:r w:rsidRPr="002210BA">
        <w:rPr>
          <w:rStyle w:val="cursor-pointer"/>
          <w:rFonts w:ascii="Geist Fallback" w:hAnsi="Geist Fallback"/>
        </w:rPr>
        <w:t>.</w:t>
      </w:r>
      <w:r w:rsidRPr="002210BA">
        <w:rPr>
          <w:rFonts w:ascii="Geist Fallback" w:hAnsi="Geist Fallback"/>
        </w:rPr>
        <w:t xml:space="preserve"> </w:t>
      </w:r>
      <w:r w:rsidRPr="002210BA">
        <w:rPr>
          <w:rStyle w:val="cursor-pointer"/>
          <w:rFonts w:ascii="Geist Fallback" w:hAnsi="Geist Fallback"/>
        </w:rPr>
        <w:t>Bile acids are another of these compounds produced by gut bacteria which might therefore modulate immune function.</w:t>
      </w:r>
      <w:r w:rsidRPr="002210BA">
        <w:rPr>
          <w:rFonts w:ascii="Geist Fallback" w:hAnsi="Geist Fallback"/>
        </w:rPr>
        <w:t xml:space="preserve"> </w:t>
      </w:r>
      <w:r w:rsidRPr="002210BA">
        <w:rPr>
          <w:rStyle w:val="cursor-pointer"/>
          <w:rFonts w:ascii="Geist Fallback" w:hAnsi="Geist Fallback"/>
        </w:rPr>
        <w:t>These materials may therefore be involved in the pathogenesis of diseases of the ocular surface including DED.</w:t>
      </w:r>
      <w:r w:rsidRPr="002210BA">
        <w:rPr>
          <w:rFonts w:ascii="Geist Fallback" w:hAnsi="Geist Fallback"/>
        </w:rPr>
        <w:t xml:space="preserve"> </w:t>
      </w:r>
      <w:r w:rsidRPr="002210BA">
        <w:rPr>
          <w:rStyle w:val="cursor-pointer"/>
          <w:rFonts w:ascii="Geist Fallback" w:hAnsi="Geist Fallback"/>
        </w:rPr>
        <w:t xml:space="preserve">A systemic evaluation of systemic health and its relationship with ocular surface diseases would be needed in addition to a local one, with an emphasis on gut microbiota </w:t>
      </w:r>
      <w:r w:rsidR="00F25823">
        <w:rPr>
          <w:rStyle w:val="cursor-pointer"/>
          <w:rFonts w:ascii="Geist Fallback" w:hAnsi="Geist Fallback"/>
        </w:rPr>
        <w:t>[8]</w:t>
      </w:r>
      <w:r w:rsidRPr="002210BA">
        <w:rPr>
          <w:rStyle w:val="cursor-pointer"/>
          <w:rFonts w:ascii="Geist Fallback" w:hAnsi="Geist Fallback"/>
        </w:rPr>
        <w:t>.</w:t>
      </w:r>
      <w:r w:rsidRPr="002210BA">
        <w:rPr>
          <w:rFonts w:ascii="Geist Fallback" w:hAnsi="Geist Fallback"/>
        </w:rPr>
        <w:t xml:space="preserve"> </w:t>
      </w:r>
      <w:r w:rsidRPr="002210BA">
        <w:rPr>
          <w:rStyle w:val="cursor-pointer"/>
          <w:rFonts w:ascii="Geist Fallback" w:hAnsi="Geist Fallback"/>
        </w:rPr>
        <w:t>The concept is new and highly relevant to the field of obesity since obesity is an outbreaking worldwide disease, and inflammatory TNF and metabolic syndrome could be involved in triggering ocular surface diseases such as DED.</w:t>
      </w:r>
      <w:r w:rsidRPr="002210BA">
        <w:rPr>
          <w:rFonts w:ascii="Geist Fallback" w:hAnsi="Geist Fallback"/>
        </w:rPr>
        <w:t xml:space="preserve"> </w:t>
      </w:r>
      <w:r w:rsidRPr="002210BA">
        <w:rPr>
          <w:rStyle w:val="cursor-pointer"/>
          <w:rFonts w:ascii="Geist Fallback" w:hAnsi="Geist Fallback"/>
        </w:rPr>
        <w:t>A better understanding of how changes in gut microbiota associated with obesity impact on eye physiology could lead to new strategies that would allow for a combination of metabolic and nutritional interventions.</w:t>
      </w:r>
      <w:r w:rsidRPr="002210BA">
        <w:rPr>
          <w:rFonts w:ascii="Geist Fallback" w:hAnsi="Geist Fallback"/>
        </w:rPr>
        <w:t xml:space="preserve"> </w:t>
      </w:r>
      <w:r w:rsidRPr="002210BA">
        <w:rPr>
          <w:rStyle w:val="cursor-pointer"/>
          <w:rFonts w:ascii="Geist Fallback" w:hAnsi="Geist Fallback"/>
        </w:rPr>
        <w:t>The article emphasizes on gut microbiome and ocular surface diseases, particularly DED, and the mechanisms whereby gut metabolites affect the eye and to examine how vitamins, omega-3 fatty acids, and minerals affect the gut and eye microbiomes and ocular surface homeostasis that can prevent DED.</w:t>
      </w:r>
      <w:r w:rsidRPr="002210BA">
        <w:rPr>
          <w:rFonts w:ascii="Geist Fallback" w:hAnsi="Geist Fallback"/>
        </w:rPr>
        <w:t xml:space="preserve"> </w:t>
      </w:r>
      <w:r w:rsidRPr="002210BA">
        <w:rPr>
          <w:rStyle w:val="cursor-pointer"/>
          <w:rFonts w:ascii="Geist Fallback" w:hAnsi="Geist Fallback"/>
        </w:rPr>
        <w:t xml:space="preserve">This review also provides a more in-depth discussion of the manipulation of food and microbiota for prevention and treatment of DED and other ocular surface diseases </w:t>
      </w:r>
      <w:r w:rsidR="00303E70">
        <w:rPr>
          <w:rStyle w:val="cursor-pointer"/>
          <w:rFonts w:ascii="Geist Fallback" w:hAnsi="Geist Fallback"/>
        </w:rPr>
        <w:t>[9]</w:t>
      </w:r>
      <w:r w:rsidRPr="002210BA">
        <w:rPr>
          <w:rStyle w:val="cursor-pointer"/>
          <w:rFonts w:ascii="Geist Fallback" w:hAnsi="Geist Fallback"/>
        </w:rPr>
        <w:t>.</w:t>
      </w:r>
      <w:r w:rsidRPr="002210BA">
        <w:rPr>
          <w:rFonts w:ascii="Geist Fallback" w:hAnsi="Geist Fallback"/>
        </w:rPr>
        <w:t xml:space="preserve"> </w:t>
      </w:r>
      <w:r w:rsidRPr="002210BA">
        <w:rPr>
          <w:rStyle w:val="cursor-pointer"/>
          <w:rFonts w:ascii="Geist Fallback" w:hAnsi="Geist Fallback"/>
        </w:rPr>
        <w:t>Last, this review pinpoints gaps in knowledge about the gut-ocular microbiome axis and highlights the importance of future functional studies to help expand knowledge of the complex gut-ocular microbiome axis, including the interactions between the two microbial communities and their relationship to ocular health, and to define specific, individualized therapeutic strategies.</w:t>
      </w:r>
    </w:p>
    <w:p w14:paraId="0853D75A" w14:textId="5880D691" w:rsidR="00555F21" w:rsidRPr="005038F2" w:rsidRDefault="00555F21" w:rsidP="00DB363A">
      <w:pPr>
        <w:spacing w:line="276" w:lineRule="auto"/>
        <w:jc w:val="both"/>
        <w:rPr>
          <w:rFonts w:ascii="Times New Roman" w:hAnsi="Times New Roman" w:cs="Times New Roman"/>
          <w:b/>
          <w:color w:val="0070C0"/>
        </w:rPr>
      </w:pPr>
      <w:r w:rsidRPr="005038F2">
        <w:rPr>
          <w:rFonts w:ascii="Times New Roman" w:hAnsi="Times New Roman" w:cs="Times New Roman"/>
          <w:b/>
          <w:color w:val="0070C0"/>
        </w:rPr>
        <w:t xml:space="preserve">2. </w:t>
      </w:r>
      <w:r w:rsidR="00F523FE" w:rsidRPr="005038F2">
        <w:rPr>
          <w:rFonts w:ascii="Times New Roman" w:hAnsi="Times New Roman" w:cs="Times New Roman"/>
          <w:b/>
          <w:bCs/>
          <w:color w:val="0070C0"/>
        </w:rPr>
        <w:t>GUT MICROBIOTA AND DRY EYE DISEASE</w:t>
      </w:r>
    </w:p>
    <w:p w14:paraId="3181AEEC" w14:textId="17E761D2" w:rsidR="00555F21" w:rsidRPr="005038F2" w:rsidRDefault="00555F21" w:rsidP="00DB363A">
      <w:pPr>
        <w:spacing w:line="276" w:lineRule="auto"/>
        <w:jc w:val="both"/>
        <w:rPr>
          <w:rFonts w:ascii="Times New Roman" w:hAnsi="Times New Roman" w:cs="Times New Roman"/>
          <w:b/>
          <w:color w:val="0070C0"/>
        </w:rPr>
      </w:pPr>
      <w:r w:rsidRPr="005038F2">
        <w:rPr>
          <w:rFonts w:ascii="Times New Roman" w:hAnsi="Times New Roman" w:cs="Times New Roman"/>
          <w:b/>
          <w:color w:val="0070C0"/>
        </w:rPr>
        <w:t xml:space="preserve">2.1 </w:t>
      </w:r>
      <w:r w:rsidR="00F523FE" w:rsidRPr="005038F2">
        <w:rPr>
          <w:rFonts w:ascii="Times New Roman" w:hAnsi="Times New Roman" w:cs="Times New Roman"/>
          <w:b/>
          <w:bCs/>
          <w:color w:val="0070C0"/>
        </w:rPr>
        <w:t>Pathophysiology of Dry Eye Disease (DED)</w:t>
      </w:r>
    </w:p>
    <w:p w14:paraId="6497DD1B" w14:textId="7DD289D2" w:rsidR="00843A1E" w:rsidRDefault="00AC3D0E" w:rsidP="00DB363A">
      <w:pPr>
        <w:spacing w:line="276" w:lineRule="auto"/>
        <w:jc w:val="both"/>
        <w:rPr>
          <w:rStyle w:val="cursor-pointer"/>
          <w:rFonts w:ascii="Geist Fallback" w:hAnsi="Geist Fallback"/>
        </w:rPr>
      </w:pPr>
      <w:r w:rsidRPr="007F79E4">
        <w:rPr>
          <w:rStyle w:val="cursor-pointer"/>
          <w:rFonts w:ascii="Geist Fallback" w:hAnsi="Geist Fallback"/>
        </w:rPr>
        <w:t>Dry eye disease is a chronic multifactorial disorder of the ocular surface characterized by ocular surface inflammation as a manifestation, and associated with loss of homeostasis of the tear film (loss of meibomian gland function leading to ocular hyperosmolarity) that manifests as dry, irritated, burning, and vision changes.</w:t>
      </w:r>
      <w:r w:rsidRPr="007F79E4">
        <w:rPr>
          <w:rFonts w:ascii="Geist Fallback" w:hAnsi="Geist Fallback"/>
        </w:rPr>
        <w:t xml:space="preserve"> </w:t>
      </w:r>
      <w:r w:rsidRPr="007F79E4">
        <w:rPr>
          <w:rStyle w:val="cursor-pointer"/>
          <w:rFonts w:ascii="Geist Fallback" w:hAnsi="Geist Fallback"/>
        </w:rPr>
        <w:lastRenderedPageBreak/>
        <w:t>DED is a multifactorial disease, with ocular surface inflammation and damage resulting in a loss of homeostasis of the tear film, and associated with increased ocular symptoms due to a reduction in tear production and increased evaporation.</w:t>
      </w:r>
      <w:r w:rsidRPr="007F79E4">
        <w:rPr>
          <w:rFonts w:ascii="Geist Fallback" w:hAnsi="Geist Fallback"/>
        </w:rPr>
        <w:t xml:space="preserve"> </w:t>
      </w:r>
      <w:r w:rsidRPr="007F79E4">
        <w:rPr>
          <w:rStyle w:val="cursor-pointer"/>
          <w:rFonts w:ascii="Geist Fallback" w:hAnsi="Geist Fallback"/>
        </w:rPr>
        <w:t>Dey et al. presented that the natural history of DED is highly one of production imbalance and tear film instability and inflammation has significant systemic and local effects in DED disease.</w:t>
      </w:r>
      <w:r w:rsidRPr="007F79E4">
        <w:rPr>
          <w:rFonts w:ascii="Geist Fallback" w:hAnsi="Geist Fallback"/>
        </w:rPr>
        <w:t xml:space="preserve"> </w:t>
      </w:r>
      <w:r w:rsidRPr="007F79E4">
        <w:rPr>
          <w:rStyle w:val="cursor-pointer"/>
          <w:rFonts w:ascii="Geist Fallback" w:hAnsi="Geist Fallback"/>
        </w:rPr>
        <w:t>DED involves an inflammatory process that leads to an increase of inflammatory cells like T lymphocytes, neutrophils and dendritic cells that break down the barrier between the eye and epithelial cells.</w:t>
      </w:r>
      <w:r w:rsidRPr="007F79E4">
        <w:rPr>
          <w:rFonts w:ascii="Geist Fallback" w:hAnsi="Geist Fallback"/>
        </w:rPr>
        <w:t xml:space="preserve"> </w:t>
      </w:r>
      <w:r w:rsidRPr="007F79E4">
        <w:rPr>
          <w:rStyle w:val="cursor-pointer"/>
          <w:rFonts w:ascii="Geist Fallback" w:hAnsi="Geist Fallback"/>
        </w:rPr>
        <w:t>The contact lenses, screen time, dry air, and other environmental factors, along with some genetic factors, upsets the immune response.</w:t>
      </w:r>
      <w:r w:rsidRPr="007F79E4">
        <w:rPr>
          <w:rFonts w:ascii="Geist Fallback" w:hAnsi="Geist Fallback"/>
        </w:rPr>
        <w:t xml:space="preserve"> </w:t>
      </w:r>
      <w:r w:rsidRPr="007F79E4">
        <w:rPr>
          <w:rStyle w:val="cursor-pointer"/>
          <w:rFonts w:ascii="Geist Fallback" w:hAnsi="Geist Fallback"/>
        </w:rPr>
        <w:t xml:space="preserve">Dry eye, in turn, can be subdivided into aqueous deficient dry eye which is a </w:t>
      </w:r>
      <w:r w:rsidRPr="007F79E4">
        <w:rPr>
          <w:rStyle w:val="cursor-pointer"/>
          <w:rFonts w:ascii="Geist Fallback" w:hAnsi="Geist Fallback"/>
        </w:rPr>
        <w:t xml:space="preserve">lack of tears and evaporative dry eye which is caused by meibomian gland dysfunction which results in increased evaporation of the tears </w:t>
      </w:r>
      <w:r w:rsidR="00977169">
        <w:rPr>
          <w:rStyle w:val="cursor-pointer"/>
          <w:rFonts w:ascii="Geist Fallback" w:hAnsi="Geist Fallback"/>
        </w:rPr>
        <w:t>[10]</w:t>
      </w:r>
      <w:r w:rsidRPr="007F79E4">
        <w:rPr>
          <w:rStyle w:val="cursor-pointer"/>
          <w:rFonts w:ascii="Geist Fallback" w:hAnsi="Geist Fallback"/>
        </w:rPr>
        <w:t>.</w:t>
      </w:r>
      <w:r w:rsidRPr="007F79E4">
        <w:rPr>
          <w:rFonts w:ascii="Geist Fallback" w:hAnsi="Geist Fallback"/>
        </w:rPr>
        <w:t xml:space="preserve"> </w:t>
      </w:r>
      <w:r w:rsidRPr="007F79E4">
        <w:rPr>
          <w:rStyle w:val="cursor-pointer"/>
          <w:rFonts w:ascii="Geist Fallback" w:hAnsi="Geist Fallback"/>
        </w:rPr>
        <w:t>Both subtypes share activation of inflammation and immune dysfunction, but have different etiological mechanisms (Figure 1).</w:t>
      </w:r>
      <w:r w:rsidRPr="007F79E4">
        <w:rPr>
          <w:rFonts w:ascii="Geist Fallback" w:hAnsi="Geist Fallback"/>
        </w:rPr>
        <w:t xml:space="preserve"> </w:t>
      </w:r>
      <w:r w:rsidRPr="007F79E4">
        <w:rPr>
          <w:rStyle w:val="cursor-pointer"/>
          <w:rFonts w:ascii="Geist Fallback" w:hAnsi="Geist Fallback"/>
        </w:rPr>
        <w:t>Recently, however, research has suggested that the gut microbiome could influence the immune responses involved in DED.</w:t>
      </w:r>
      <w:r w:rsidRPr="007F79E4">
        <w:rPr>
          <w:rFonts w:ascii="Geist Fallback" w:hAnsi="Geist Fallback"/>
        </w:rPr>
        <w:t xml:space="preserve"> </w:t>
      </w:r>
      <w:r w:rsidRPr="007F79E4">
        <w:rPr>
          <w:rStyle w:val="cursor-pointer"/>
          <w:rFonts w:ascii="Geist Fallback" w:hAnsi="Geist Fallback"/>
        </w:rPr>
        <w:t>The gut microbiota communicates with the immune system through short-chain fatty acids and bile acids, and is also able to influence systemic inflammatory/immune responses.</w:t>
      </w:r>
      <w:r w:rsidRPr="007F79E4">
        <w:rPr>
          <w:rFonts w:ascii="Geist Fallback" w:hAnsi="Geist Fallback"/>
        </w:rPr>
        <w:t xml:space="preserve"> </w:t>
      </w:r>
      <w:r w:rsidRPr="007F79E4">
        <w:rPr>
          <w:rStyle w:val="cursor-pointer"/>
          <w:rFonts w:ascii="Geist Fallback" w:hAnsi="Geist Fallback"/>
        </w:rPr>
        <w:t>The gut-eye axis, along with the gut-brain and gut-skin axes, also points to a role for changes in the gut microbiota in DED, potentially through systemic inflammation and immunologic homeostasis.</w:t>
      </w:r>
    </w:p>
    <w:p w14:paraId="42858857" w14:textId="598B32A7" w:rsidR="00AC3D0E" w:rsidRDefault="00AC3D0E" w:rsidP="00DB363A">
      <w:pPr>
        <w:spacing w:line="276" w:lineRule="auto"/>
        <w:jc w:val="both"/>
        <w:rPr>
          <w:rFonts w:ascii="Times New Roman" w:hAnsi="Times New Roman" w:cs="Times New Roman"/>
        </w:rPr>
        <w:sectPr w:rsidR="00AC3D0E" w:rsidSect="00B11A46">
          <w:type w:val="continuous"/>
          <w:pgSz w:w="11906" w:h="16838" w:code="9"/>
          <w:pgMar w:top="720" w:right="720" w:bottom="720" w:left="720" w:header="720" w:footer="0" w:gutter="0"/>
          <w:cols w:num="2" w:space="386"/>
          <w:docGrid w:linePitch="360"/>
        </w:sectPr>
      </w:pPr>
    </w:p>
    <w:p w14:paraId="009ED7D3" w14:textId="77777777" w:rsidR="00AC3D0E" w:rsidRDefault="00AC3D0E" w:rsidP="00DB363A">
      <w:pPr>
        <w:spacing w:line="276" w:lineRule="auto"/>
        <w:jc w:val="both"/>
        <w:rPr>
          <w:rFonts w:ascii="Times New Roman" w:hAnsi="Times New Roman" w:cs="Times New Roman"/>
        </w:rPr>
      </w:pPr>
    </w:p>
    <w:p w14:paraId="0C32B50B" w14:textId="505BAD61" w:rsidR="00843A1E" w:rsidRDefault="00AC3D0E" w:rsidP="00AC3D0E">
      <w:pPr>
        <w:spacing w:line="276" w:lineRule="auto"/>
        <w:jc w:val="center"/>
        <w:rPr>
          <w:rFonts w:ascii="Times New Roman" w:hAnsi="Times New Roman" w:cs="Times New Roman"/>
        </w:rPr>
      </w:pPr>
      <w:r w:rsidRPr="007F79E4">
        <w:rPr>
          <w:rFonts w:ascii="Times New Roman" w:hAnsi="Times New Roman" w:cs="Times New Roman"/>
          <w:noProof/>
        </w:rPr>
        <w:drawing>
          <wp:inline distT="0" distB="0" distL="0" distR="0" wp14:anchorId="52DF216A" wp14:editId="6F0C9276">
            <wp:extent cx="5539740" cy="4884420"/>
            <wp:effectExtent l="0" t="0" r="0" b="0"/>
            <wp:docPr id="126983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t="11830"/>
                    <a:stretch>
                      <a:fillRect/>
                    </a:stretch>
                  </pic:blipFill>
                  <pic:spPr bwMode="auto">
                    <a:xfrm>
                      <a:off x="0" y="0"/>
                      <a:ext cx="5539740" cy="4884420"/>
                    </a:xfrm>
                    <a:prstGeom prst="rect">
                      <a:avLst/>
                    </a:prstGeom>
                    <a:noFill/>
                  </pic:spPr>
                </pic:pic>
              </a:graphicData>
            </a:graphic>
          </wp:inline>
        </w:drawing>
      </w:r>
    </w:p>
    <w:p w14:paraId="0340DF20" w14:textId="5141E5E4" w:rsidR="00555F21" w:rsidRDefault="00843A1E" w:rsidP="00843A1E">
      <w:pPr>
        <w:spacing w:line="276" w:lineRule="auto"/>
        <w:jc w:val="center"/>
        <w:rPr>
          <w:rFonts w:ascii="Times New Roman" w:hAnsi="Times New Roman" w:cs="Times New Roman"/>
          <w:b/>
          <w:bCs/>
        </w:rPr>
      </w:pPr>
      <w:r w:rsidRPr="00843A1E">
        <w:rPr>
          <w:rFonts w:ascii="Times New Roman" w:hAnsi="Times New Roman" w:cs="Times New Roman"/>
          <w:b/>
          <w:bCs/>
        </w:rPr>
        <w:t>Fig</w:t>
      </w:r>
      <w:r>
        <w:rPr>
          <w:rFonts w:ascii="Times New Roman" w:hAnsi="Times New Roman" w:cs="Times New Roman"/>
          <w:b/>
          <w:bCs/>
        </w:rPr>
        <w:t>ure</w:t>
      </w:r>
      <w:r w:rsidRPr="00843A1E">
        <w:rPr>
          <w:rFonts w:ascii="Times New Roman" w:hAnsi="Times New Roman" w:cs="Times New Roman"/>
          <w:b/>
          <w:bCs/>
        </w:rPr>
        <w:t xml:space="preserve"> 1 </w:t>
      </w:r>
      <w:r w:rsidR="00AC3D0E" w:rsidRPr="007F79E4">
        <w:rPr>
          <w:rFonts w:ascii="Times New Roman" w:hAnsi="Times New Roman" w:cs="Times New Roman"/>
          <w:b/>
          <w:bCs/>
        </w:rPr>
        <w:t>Systemic and molecular pathways linking microbiome dysregulation to ocular health</w:t>
      </w:r>
    </w:p>
    <w:p w14:paraId="374D64C1" w14:textId="77777777" w:rsidR="0092116C" w:rsidRPr="00843A1E" w:rsidRDefault="0092116C" w:rsidP="00843A1E">
      <w:pPr>
        <w:spacing w:line="276" w:lineRule="auto"/>
        <w:jc w:val="center"/>
        <w:rPr>
          <w:rFonts w:ascii="Times New Roman" w:hAnsi="Times New Roman" w:cs="Times New Roman"/>
          <w:b/>
          <w:bCs/>
        </w:rPr>
      </w:pPr>
    </w:p>
    <w:p w14:paraId="64C7F6DB" w14:textId="77777777" w:rsidR="00843A1E" w:rsidRDefault="00843A1E" w:rsidP="00DB363A">
      <w:pPr>
        <w:spacing w:line="276" w:lineRule="auto"/>
        <w:jc w:val="both"/>
        <w:rPr>
          <w:rFonts w:ascii="Times New Roman" w:hAnsi="Times New Roman" w:cs="Times New Roman"/>
        </w:rPr>
        <w:sectPr w:rsidR="00843A1E" w:rsidSect="00843A1E">
          <w:type w:val="continuous"/>
          <w:pgSz w:w="11906" w:h="16838" w:code="9"/>
          <w:pgMar w:top="720" w:right="720" w:bottom="720" w:left="720" w:header="720" w:footer="0" w:gutter="0"/>
          <w:cols w:space="386"/>
          <w:docGrid w:linePitch="360"/>
        </w:sectPr>
      </w:pPr>
    </w:p>
    <w:p w14:paraId="6B42E3DD" w14:textId="7C5DF551" w:rsidR="00555F21" w:rsidRPr="00A02B76" w:rsidRDefault="00555F21" w:rsidP="00DB363A">
      <w:pPr>
        <w:spacing w:line="276" w:lineRule="auto"/>
        <w:jc w:val="both"/>
        <w:rPr>
          <w:rFonts w:ascii="Times New Roman" w:hAnsi="Times New Roman" w:cs="Times New Roman"/>
          <w:b/>
          <w:color w:val="0070C0"/>
        </w:rPr>
      </w:pPr>
      <w:r w:rsidRPr="00A02B76">
        <w:rPr>
          <w:rFonts w:ascii="Times New Roman" w:hAnsi="Times New Roman" w:cs="Times New Roman"/>
          <w:b/>
          <w:color w:val="0070C0"/>
        </w:rPr>
        <w:t xml:space="preserve">2.2 </w:t>
      </w:r>
      <w:r w:rsidR="00212C1C" w:rsidRPr="00A02B76">
        <w:rPr>
          <w:rFonts w:ascii="Times New Roman" w:hAnsi="Times New Roman" w:cs="Times New Roman"/>
          <w:b/>
          <w:bCs/>
          <w:color w:val="0070C0"/>
        </w:rPr>
        <w:t>Gut Microbiota-Derived Metabolites and Their Effect on DED Symptoms</w:t>
      </w:r>
    </w:p>
    <w:p w14:paraId="7F32E992" w14:textId="6A97EFA3" w:rsidR="00555F21" w:rsidRPr="00555F21" w:rsidRDefault="009C1BC3" w:rsidP="00DB363A">
      <w:pPr>
        <w:spacing w:line="276" w:lineRule="auto"/>
        <w:jc w:val="both"/>
        <w:rPr>
          <w:rFonts w:ascii="Times New Roman" w:hAnsi="Times New Roman" w:cs="Times New Roman"/>
        </w:rPr>
      </w:pPr>
      <w:r w:rsidRPr="007F79E4">
        <w:rPr>
          <w:rStyle w:val="cursor-pointer"/>
          <w:rFonts w:ascii="Geist Fallback" w:hAnsi="Geist Fallback"/>
        </w:rPr>
        <w:t xml:space="preserve">The gut microbiome produces different compounds which have a variety of effects on local and systemic </w:t>
      </w:r>
      <w:r w:rsidRPr="007F79E4">
        <w:rPr>
          <w:rStyle w:val="cursor-pointer"/>
          <w:rFonts w:ascii="Geist Fallback" w:hAnsi="Geist Fallback"/>
        </w:rPr>
        <w:t>health.</w:t>
      </w:r>
      <w:r w:rsidRPr="007F79E4">
        <w:rPr>
          <w:rFonts w:ascii="Geist Fallback" w:hAnsi="Geist Fallback"/>
        </w:rPr>
        <w:t xml:space="preserve"> </w:t>
      </w:r>
      <w:r w:rsidRPr="007F79E4">
        <w:rPr>
          <w:rStyle w:val="cursor-pointer"/>
          <w:rFonts w:ascii="Geist Fallback" w:hAnsi="Geist Fallback"/>
        </w:rPr>
        <w:t>Of the SCFAs, butyrate, propionate and acetate have been studied most regarding their immunological and anti-inflammatory effects (Wang et al., 2023).</w:t>
      </w:r>
      <w:r w:rsidRPr="007F79E4">
        <w:rPr>
          <w:rFonts w:ascii="Geist Fallback" w:hAnsi="Geist Fallback"/>
        </w:rPr>
        <w:t xml:space="preserve"> </w:t>
      </w:r>
      <w:r w:rsidRPr="007F79E4">
        <w:rPr>
          <w:rStyle w:val="cursor-pointer"/>
          <w:rFonts w:ascii="Geist Fallback" w:hAnsi="Geist Fallback"/>
        </w:rPr>
        <w:t xml:space="preserve">A glimpse at metabolites which some are metabolites created by gut bacteria from the degradation of dietary </w:t>
      </w:r>
      <w:r w:rsidRPr="007F79E4">
        <w:rPr>
          <w:rStyle w:val="cursor-pointer"/>
          <w:rFonts w:ascii="Geist Fallback" w:hAnsi="Geist Fallback"/>
        </w:rPr>
        <w:lastRenderedPageBreak/>
        <w:t>fibers which, when absorbed into the blood, can have effects on distant tissues in the body such as the eyes.</w:t>
      </w:r>
      <w:r w:rsidRPr="007F79E4">
        <w:rPr>
          <w:rFonts w:ascii="Geist Fallback" w:hAnsi="Geist Fallback"/>
        </w:rPr>
        <w:t xml:space="preserve"> </w:t>
      </w:r>
      <w:r w:rsidRPr="007F79E4">
        <w:rPr>
          <w:rStyle w:val="cursor-pointer"/>
          <w:rFonts w:ascii="Geist Fallback" w:hAnsi="Geist Fallback"/>
        </w:rPr>
        <w:t>Butyrate is one of the short-chain fatty acids (SCFAs) that is the central player in regulating an immune response and maintaining the epithelial barrier.</w:t>
      </w:r>
      <w:r w:rsidRPr="007F79E4">
        <w:rPr>
          <w:rFonts w:ascii="Geist Fallback" w:hAnsi="Geist Fallback"/>
        </w:rPr>
        <w:t xml:space="preserve"> </w:t>
      </w:r>
      <w:r w:rsidRPr="007F79E4">
        <w:rPr>
          <w:rStyle w:val="cursor-pointer"/>
          <w:rFonts w:ascii="Geist Fallback" w:hAnsi="Geist Fallback"/>
        </w:rPr>
        <w:t xml:space="preserve">As signaling agents, they could also bind to the G-protein coupled receptors of the immune cells to reduce their pathway modulating pro-inflammatory activity </w:t>
      </w:r>
      <w:r w:rsidR="00D133FB">
        <w:rPr>
          <w:rStyle w:val="cursor-pointer"/>
          <w:rFonts w:ascii="Geist Fallback" w:hAnsi="Geist Fallback"/>
        </w:rPr>
        <w:t>[1</w:t>
      </w:r>
      <w:r w:rsidR="000C57FB">
        <w:rPr>
          <w:rStyle w:val="cursor-pointer"/>
          <w:rFonts w:ascii="Geist Fallback" w:hAnsi="Geist Fallback"/>
        </w:rPr>
        <w:t>2</w:t>
      </w:r>
      <w:r w:rsidR="00D133FB">
        <w:rPr>
          <w:rStyle w:val="cursor-pointer"/>
          <w:rFonts w:ascii="Geist Fallback" w:hAnsi="Geist Fallback"/>
        </w:rPr>
        <w:t>,1</w:t>
      </w:r>
      <w:r w:rsidR="000C57FB">
        <w:rPr>
          <w:rStyle w:val="cursor-pointer"/>
          <w:rFonts w:ascii="Geist Fallback" w:hAnsi="Geist Fallback"/>
        </w:rPr>
        <w:t>3</w:t>
      </w:r>
      <w:r w:rsidR="00D133FB">
        <w:rPr>
          <w:rStyle w:val="cursor-pointer"/>
          <w:rFonts w:ascii="Geist Fallback" w:hAnsi="Geist Fallback"/>
        </w:rPr>
        <w:t>]</w:t>
      </w:r>
      <w:r w:rsidRPr="007F79E4">
        <w:rPr>
          <w:rStyle w:val="cursor-pointer"/>
          <w:rFonts w:ascii="Geist Fallback" w:hAnsi="Geist Fallback"/>
        </w:rPr>
        <w:t>.</w:t>
      </w:r>
      <w:r w:rsidRPr="007F79E4">
        <w:rPr>
          <w:rFonts w:ascii="Geist Fallback" w:hAnsi="Geist Fallback"/>
        </w:rPr>
        <w:t xml:space="preserve"> </w:t>
      </w:r>
      <w:r w:rsidRPr="007F79E4">
        <w:rPr>
          <w:rStyle w:val="cursor-pointer"/>
          <w:rFonts w:ascii="Geist Fallback" w:hAnsi="Geist Fallback"/>
        </w:rPr>
        <w:t xml:space="preserve">In this sense, butyrate was shown to reduce pro-inflammatory cytokines TNF-α and IL-6 </w:t>
      </w:r>
      <w:r w:rsidR="00721EF7">
        <w:rPr>
          <w:rStyle w:val="cursor-pointer"/>
          <w:rFonts w:ascii="Geist Fallback" w:hAnsi="Geist Fallback"/>
        </w:rPr>
        <w:t>[1</w:t>
      </w:r>
      <w:r w:rsidR="000C57FB">
        <w:rPr>
          <w:rStyle w:val="cursor-pointer"/>
          <w:rFonts w:ascii="Geist Fallback" w:hAnsi="Geist Fallback"/>
        </w:rPr>
        <w:t>4</w:t>
      </w:r>
      <w:r w:rsidR="00721EF7">
        <w:rPr>
          <w:rStyle w:val="cursor-pointer"/>
          <w:rFonts w:ascii="Geist Fallback" w:hAnsi="Geist Fallback"/>
        </w:rPr>
        <w:t>-1</w:t>
      </w:r>
      <w:r w:rsidR="000C57FB">
        <w:rPr>
          <w:rStyle w:val="cursor-pointer"/>
          <w:rFonts w:ascii="Geist Fallback" w:hAnsi="Geist Fallback"/>
        </w:rPr>
        <w:t>6</w:t>
      </w:r>
      <w:r w:rsidR="00721EF7">
        <w:rPr>
          <w:rStyle w:val="cursor-pointer"/>
          <w:rFonts w:ascii="Geist Fallback" w:hAnsi="Geist Fallback"/>
        </w:rPr>
        <w:t>]</w:t>
      </w:r>
      <w:r w:rsidRPr="007F79E4">
        <w:rPr>
          <w:rStyle w:val="cursor-pointer"/>
          <w:rFonts w:ascii="Geist Fallback" w:hAnsi="Geist Fallback"/>
        </w:rPr>
        <w:t>.</w:t>
      </w:r>
      <w:r w:rsidRPr="007F79E4">
        <w:rPr>
          <w:rFonts w:ascii="Geist Fallback" w:hAnsi="Geist Fallback"/>
        </w:rPr>
        <w:t xml:space="preserve"> </w:t>
      </w:r>
      <w:r w:rsidRPr="007F79E4">
        <w:rPr>
          <w:rStyle w:val="cursor-pointer"/>
          <w:rFonts w:ascii="Geist Fallback" w:hAnsi="Geist Fallback"/>
        </w:rPr>
        <w:t>However, butyrate has been induced Tregs; Tregs are known as anti-inflammatory cells and help to decrease the inflammation.</w:t>
      </w:r>
      <w:r w:rsidRPr="007F79E4">
        <w:rPr>
          <w:rFonts w:ascii="Geist Fallback" w:hAnsi="Geist Fallback"/>
        </w:rPr>
        <w:t xml:space="preserve"> </w:t>
      </w:r>
      <w:r w:rsidRPr="007F79E4">
        <w:rPr>
          <w:rStyle w:val="cursor-pointer"/>
          <w:rFonts w:ascii="Geist Fallback" w:hAnsi="Geist Fallback"/>
        </w:rPr>
        <w:t>Because inflammation is a hallmark of the progression of DED, an important role for SCFAs is to prevent or ameliorate diseases associated with inflammation.</w:t>
      </w:r>
      <w:r w:rsidRPr="007F79E4">
        <w:rPr>
          <w:rFonts w:ascii="Geist Fallback" w:hAnsi="Geist Fallback"/>
        </w:rPr>
        <w:t xml:space="preserve"> </w:t>
      </w:r>
      <w:r w:rsidRPr="007F79E4">
        <w:rPr>
          <w:rStyle w:val="cursor-pointer"/>
          <w:rFonts w:ascii="Geist Fallback" w:hAnsi="Geist Fallback"/>
        </w:rPr>
        <w:t xml:space="preserve">The SCFAs (butyrate) can maintain the integrity of the epithelial barrier by maintaining tight junctions between epithelial cells </w:t>
      </w:r>
      <w:r w:rsidR="00E13C02">
        <w:rPr>
          <w:rStyle w:val="cursor-pointer"/>
          <w:rFonts w:ascii="Geist Fallback" w:hAnsi="Geist Fallback"/>
        </w:rPr>
        <w:t>[1</w:t>
      </w:r>
      <w:r w:rsidR="000C57FB">
        <w:rPr>
          <w:rStyle w:val="cursor-pointer"/>
          <w:rFonts w:ascii="Geist Fallback" w:hAnsi="Geist Fallback"/>
        </w:rPr>
        <w:t>7</w:t>
      </w:r>
      <w:r w:rsidR="00E13C02">
        <w:rPr>
          <w:rStyle w:val="cursor-pointer"/>
          <w:rFonts w:ascii="Geist Fallback" w:hAnsi="Geist Fallback"/>
        </w:rPr>
        <w:t>]</w:t>
      </w:r>
      <w:r w:rsidRPr="007F79E4">
        <w:rPr>
          <w:rStyle w:val="cursor-pointer"/>
          <w:rFonts w:ascii="Geist Fallback" w:hAnsi="Geist Fallback"/>
        </w:rPr>
        <w:t>.</w:t>
      </w:r>
      <w:r w:rsidRPr="007F79E4">
        <w:rPr>
          <w:rFonts w:ascii="Geist Fallback" w:hAnsi="Geist Fallback"/>
        </w:rPr>
        <w:t xml:space="preserve"> </w:t>
      </w:r>
      <w:r w:rsidRPr="007F79E4">
        <w:rPr>
          <w:rStyle w:val="cursor-pointer"/>
          <w:rFonts w:ascii="Geist Fallback" w:hAnsi="Geist Fallback"/>
        </w:rPr>
        <w:t>SCFAs can repair the epithelium and restore the barriers in this location-specific ocular surface epithelium injury, and reduce inflammation.</w:t>
      </w:r>
      <w:r w:rsidRPr="007F79E4">
        <w:rPr>
          <w:rFonts w:ascii="Geist Fallback" w:hAnsi="Geist Fallback"/>
        </w:rPr>
        <w:t xml:space="preserve"> </w:t>
      </w:r>
      <w:r w:rsidRPr="007F79E4">
        <w:rPr>
          <w:rStyle w:val="cursor-pointer"/>
          <w:rFonts w:ascii="Geist Fallback" w:hAnsi="Geist Fallback"/>
        </w:rPr>
        <w:t>Fiber diets (which lead to an increase in SCFA production) are also recommended to promote immune tolerance and to reduce or prevent inflammatory diseases including DED.</w:t>
      </w:r>
      <w:r w:rsidRPr="007F79E4">
        <w:rPr>
          <w:rFonts w:ascii="Geist Fallback" w:hAnsi="Geist Fallback"/>
        </w:rPr>
        <w:t xml:space="preserve"> </w:t>
      </w:r>
      <w:r w:rsidRPr="007F79E4">
        <w:rPr>
          <w:rStyle w:val="cursor-pointer"/>
          <w:rFonts w:ascii="Geist Fallback" w:hAnsi="Geist Fallback"/>
        </w:rPr>
        <w:t xml:space="preserve">Products created during the degradative process by the microbiota of the intestine are bile acids and other products, as well as primary metabolites of lipids in the human diet which are the result of degradation by intestinal microbiota </w:t>
      </w:r>
      <w:r w:rsidR="00713062">
        <w:rPr>
          <w:rStyle w:val="cursor-pointer"/>
          <w:rFonts w:ascii="Geist Fallback" w:hAnsi="Geist Fallback"/>
        </w:rPr>
        <w:t>[1</w:t>
      </w:r>
      <w:r w:rsidR="000C57FB">
        <w:rPr>
          <w:rStyle w:val="cursor-pointer"/>
          <w:rFonts w:ascii="Geist Fallback" w:hAnsi="Geist Fallback"/>
        </w:rPr>
        <w:t>8</w:t>
      </w:r>
      <w:r w:rsidR="00713062">
        <w:rPr>
          <w:rStyle w:val="cursor-pointer"/>
          <w:rFonts w:ascii="Geist Fallback" w:hAnsi="Geist Fallback"/>
        </w:rPr>
        <w:t>]</w:t>
      </w:r>
      <w:r w:rsidRPr="007F79E4">
        <w:rPr>
          <w:rStyle w:val="cursor-pointer"/>
          <w:rFonts w:ascii="Geist Fallback" w:hAnsi="Geist Fallback"/>
        </w:rPr>
        <w:t>.</w:t>
      </w:r>
      <w:r w:rsidR="005D638A">
        <w:rPr>
          <w:rStyle w:val="cursor-pointer"/>
          <w:rFonts w:ascii="Geist Fallback" w:hAnsi="Geist Fallback"/>
        </w:rPr>
        <w:t xml:space="preserve"> </w:t>
      </w:r>
      <w:r w:rsidRPr="007F79E4">
        <w:rPr>
          <w:rStyle w:val="cursor-pointer"/>
          <w:rFonts w:ascii="Geist Fallback" w:hAnsi="Geist Fallback"/>
        </w:rPr>
        <w:t>As signaling molecules, bile acids also regulate other biological events such as metabolic regulation, modulation of immune function, and inflammation.</w:t>
      </w:r>
      <w:r w:rsidRPr="007F79E4">
        <w:rPr>
          <w:rFonts w:ascii="Geist Fallback" w:hAnsi="Geist Fallback"/>
        </w:rPr>
        <w:t xml:space="preserve"> </w:t>
      </w:r>
      <w:r w:rsidRPr="007F79E4">
        <w:rPr>
          <w:rStyle w:val="cursor-pointer"/>
          <w:rFonts w:ascii="Geist Fallback" w:hAnsi="Geist Fallback"/>
        </w:rPr>
        <w:t>These bile acids control systemic inflammation and immunological responses via interacting with nuclear receptors such FXR and TGR5, which modulate systemic inflammation and immune responses.</w:t>
      </w:r>
      <w:r w:rsidRPr="007F79E4">
        <w:rPr>
          <w:rFonts w:ascii="Geist Fallback" w:hAnsi="Geist Fallback"/>
        </w:rPr>
        <w:t xml:space="preserve"> </w:t>
      </w:r>
      <w:r w:rsidRPr="007F79E4">
        <w:rPr>
          <w:rStyle w:val="cursor-pointer"/>
          <w:rFonts w:ascii="Geist Fallback" w:hAnsi="Geist Fallback"/>
        </w:rPr>
        <w:t xml:space="preserve">In DED and other autoimmune and inflammatory diseases, there has been a change in the composition of bile acids </w:t>
      </w:r>
      <w:r w:rsidR="005455AF">
        <w:rPr>
          <w:rStyle w:val="cursor-pointer"/>
          <w:rFonts w:ascii="Geist Fallback" w:hAnsi="Geist Fallback"/>
        </w:rPr>
        <w:t>[19]</w:t>
      </w:r>
      <w:r w:rsidRPr="007F79E4">
        <w:rPr>
          <w:rStyle w:val="cursor-pointer"/>
          <w:rFonts w:ascii="Geist Fallback" w:hAnsi="Geist Fallback"/>
        </w:rPr>
        <w:t>.</w:t>
      </w:r>
      <w:r w:rsidRPr="007F79E4">
        <w:rPr>
          <w:rFonts w:ascii="Geist Fallback" w:hAnsi="Geist Fallback"/>
        </w:rPr>
        <w:t xml:space="preserve"> </w:t>
      </w:r>
      <w:r w:rsidRPr="007F79E4">
        <w:rPr>
          <w:rStyle w:val="cursor-pointer"/>
          <w:rFonts w:ascii="Geist Fallback" w:hAnsi="Geist Fallback"/>
        </w:rPr>
        <w:t>Recent research indicates that bile acids could play a role in DED by altering the immune response and the function of the ocular surface.</w:t>
      </w:r>
      <w:r w:rsidRPr="007F79E4">
        <w:rPr>
          <w:rFonts w:ascii="Geist Fallback" w:hAnsi="Geist Fallback"/>
        </w:rPr>
        <w:t xml:space="preserve"> </w:t>
      </w:r>
      <w:r w:rsidRPr="007F79E4">
        <w:rPr>
          <w:rStyle w:val="cursor-pointer"/>
          <w:rFonts w:ascii="Geist Fallback" w:hAnsi="Geist Fallback"/>
        </w:rPr>
        <w:t>Changes in gut microbiota which lead to dysregulated bile acid pool contribute to systemic inflammation and ocular surface inflammation, worsening DED.</w:t>
      </w:r>
      <w:r w:rsidRPr="007F79E4">
        <w:rPr>
          <w:rFonts w:ascii="Geist Fallback" w:hAnsi="Geist Fallback"/>
        </w:rPr>
        <w:t xml:space="preserve"> </w:t>
      </w:r>
      <w:r w:rsidRPr="007F79E4">
        <w:rPr>
          <w:rStyle w:val="cursor-pointer"/>
          <w:rFonts w:ascii="Geist Fallback" w:hAnsi="Geist Fallback"/>
        </w:rPr>
        <w:t xml:space="preserve">In addition, bile acids are potential targets for treatment of DED patients as they have been </w:t>
      </w:r>
      <w:r w:rsidRPr="007F79E4">
        <w:rPr>
          <w:rStyle w:val="cursor-pointer"/>
          <w:rFonts w:ascii="Geist Fallback" w:hAnsi="Geist Fallback"/>
        </w:rPr>
        <w:t xml:space="preserve">shown to affect immune cell infiltration and production of cytokines </w:t>
      </w:r>
      <w:r w:rsidR="003D6189">
        <w:rPr>
          <w:rStyle w:val="cursor-pointer"/>
          <w:rFonts w:ascii="Geist Fallback" w:hAnsi="Geist Fallback"/>
        </w:rPr>
        <w:t>[20]</w:t>
      </w:r>
      <w:r w:rsidRPr="007F79E4">
        <w:rPr>
          <w:rStyle w:val="cursor-pointer"/>
          <w:rFonts w:ascii="Geist Fallback" w:hAnsi="Geist Fallback"/>
        </w:rPr>
        <w:t>.</w:t>
      </w:r>
    </w:p>
    <w:p w14:paraId="5F378FE8" w14:textId="2EB83A9D" w:rsidR="00555F21" w:rsidRPr="00CF70F0" w:rsidRDefault="00555F21" w:rsidP="00DB363A">
      <w:pPr>
        <w:spacing w:line="276" w:lineRule="auto"/>
        <w:jc w:val="both"/>
        <w:rPr>
          <w:rFonts w:ascii="Times New Roman" w:hAnsi="Times New Roman" w:cs="Times New Roman"/>
          <w:b/>
          <w:color w:val="0070C0"/>
        </w:rPr>
      </w:pPr>
      <w:r w:rsidRPr="003D3D96">
        <w:rPr>
          <w:rFonts w:ascii="Times New Roman" w:hAnsi="Times New Roman" w:cs="Times New Roman"/>
          <w:b/>
          <w:color w:val="2E74B5" w:themeColor="accent5" w:themeShade="BF"/>
        </w:rPr>
        <w:t xml:space="preserve">2.3 </w:t>
      </w:r>
      <w:r w:rsidR="009F0901" w:rsidRPr="00CF70F0">
        <w:rPr>
          <w:rFonts w:ascii="Times New Roman" w:hAnsi="Times New Roman" w:cs="Times New Roman"/>
          <w:b/>
          <w:bCs/>
          <w:color w:val="0070C0"/>
        </w:rPr>
        <w:t>Development of DED and Its Connection with Inflammation</w:t>
      </w:r>
    </w:p>
    <w:p w14:paraId="49B1B51E" w14:textId="1EE260EE" w:rsidR="00555F21" w:rsidRPr="00555F21" w:rsidRDefault="004B4CF4" w:rsidP="00DB363A">
      <w:pPr>
        <w:spacing w:line="276" w:lineRule="auto"/>
        <w:jc w:val="both"/>
        <w:rPr>
          <w:rFonts w:ascii="Times New Roman" w:hAnsi="Times New Roman" w:cs="Times New Roman"/>
        </w:rPr>
      </w:pPr>
      <w:r w:rsidRPr="007F79E4">
        <w:rPr>
          <w:rStyle w:val="cursor-pointer"/>
          <w:rFonts w:ascii="Geist Fallback" w:hAnsi="Geist Fallback"/>
        </w:rPr>
        <w:t>Chronic inflammation is a crucial part of DED and plays a role in its etiology.</w:t>
      </w:r>
      <w:r w:rsidRPr="007F79E4">
        <w:rPr>
          <w:rFonts w:ascii="Geist Fallback" w:hAnsi="Geist Fallback"/>
        </w:rPr>
        <w:t xml:space="preserve"> </w:t>
      </w:r>
      <w:r w:rsidRPr="007F79E4">
        <w:rPr>
          <w:rStyle w:val="cursor-pointer"/>
          <w:rFonts w:ascii="Geist Fallback" w:hAnsi="Geist Fallback"/>
        </w:rPr>
        <w:t>DED is caused by release of pro-inflammatory cytokines by the dry air or contact lenses that bring immune cells to the ocular surface, or by the inflammatory response in autoimmune disorders.</w:t>
      </w:r>
      <w:r w:rsidRPr="007F79E4">
        <w:rPr>
          <w:rFonts w:ascii="Geist Fallback" w:hAnsi="Geist Fallback"/>
        </w:rPr>
        <w:t xml:space="preserve"> </w:t>
      </w:r>
      <w:r w:rsidRPr="007F79E4">
        <w:rPr>
          <w:rStyle w:val="cursor-pointer"/>
          <w:rFonts w:ascii="Geist Fallback" w:hAnsi="Geist Fallback"/>
        </w:rPr>
        <w:t xml:space="preserve">The corneal and conjunctival epithelium is injured, resulting in an upregulation of inflammatory cytokines such as IL-1, IL-6, IL-17, TNF-α and MMPs </w:t>
      </w:r>
      <w:r w:rsidR="002E763A">
        <w:rPr>
          <w:rStyle w:val="cursor-pointer"/>
          <w:rFonts w:ascii="Geist Fallback" w:hAnsi="Geist Fallback"/>
        </w:rPr>
        <w:t>[21]</w:t>
      </w:r>
      <w:r w:rsidRPr="007F79E4">
        <w:rPr>
          <w:rStyle w:val="cursor-pointer"/>
          <w:rFonts w:ascii="Geist Fallback" w:hAnsi="Geist Fallback"/>
        </w:rPr>
        <w:t>.</w:t>
      </w:r>
      <w:r w:rsidRPr="007F79E4">
        <w:rPr>
          <w:rFonts w:ascii="Geist Fallback" w:hAnsi="Geist Fallback"/>
        </w:rPr>
        <w:t xml:space="preserve"> </w:t>
      </w:r>
      <w:r w:rsidRPr="007F79E4">
        <w:rPr>
          <w:rStyle w:val="cursor-pointer"/>
          <w:rFonts w:ascii="Geist Fallback" w:hAnsi="Geist Fallback"/>
        </w:rPr>
        <w:t>This leads to the DED pathology to progress to systemically mediated immune responses and to promote epithelial damage and tear film instability.</w:t>
      </w:r>
      <w:r w:rsidRPr="007F79E4">
        <w:rPr>
          <w:rFonts w:ascii="Geist Fallback" w:hAnsi="Geist Fallback"/>
        </w:rPr>
        <w:t xml:space="preserve"> </w:t>
      </w:r>
      <w:r w:rsidRPr="007F79E4">
        <w:rPr>
          <w:rStyle w:val="cursor-pointer"/>
          <w:rFonts w:ascii="Geist Fallback" w:hAnsi="Geist Fallback"/>
        </w:rPr>
        <w:t>DED pathophysiology includes systemic inflammatory processes that can affect the ocular surface inflammation (Table 1).</w:t>
      </w:r>
      <w:r w:rsidRPr="007F79E4">
        <w:rPr>
          <w:rFonts w:ascii="Geist Fallback" w:hAnsi="Geist Fallback"/>
        </w:rPr>
        <w:t xml:space="preserve"> </w:t>
      </w:r>
      <w:r w:rsidRPr="007F79E4">
        <w:rPr>
          <w:rStyle w:val="cursor-pointer"/>
          <w:rFonts w:ascii="Geist Fallback" w:hAnsi="Geist Fallback"/>
        </w:rPr>
        <w:t>Gut microbiota has recently been shown to have a role in this.</w:t>
      </w:r>
      <w:r w:rsidRPr="007F79E4">
        <w:rPr>
          <w:rFonts w:ascii="Geist Fallback" w:hAnsi="Geist Fallback"/>
        </w:rPr>
        <w:t xml:space="preserve"> </w:t>
      </w:r>
      <w:r w:rsidRPr="007F79E4">
        <w:rPr>
          <w:rStyle w:val="cursor-pointer"/>
          <w:rFonts w:ascii="Geist Fallback" w:hAnsi="Geist Fallback"/>
        </w:rPr>
        <w:t xml:space="preserve">The gut microbiome, a balance of good and bad bacteria, dysbiosis can trigger systemic inflammation, worsening DED symptoms </w:t>
      </w:r>
      <w:r w:rsidR="00296A7A">
        <w:rPr>
          <w:rStyle w:val="cursor-pointer"/>
          <w:rFonts w:ascii="Geist Fallback" w:hAnsi="Geist Fallback"/>
        </w:rPr>
        <w:t>[22]</w:t>
      </w:r>
      <w:r w:rsidRPr="007F79E4">
        <w:rPr>
          <w:rStyle w:val="cursor-pointer"/>
          <w:rFonts w:ascii="Geist Fallback" w:hAnsi="Geist Fallback"/>
        </w:rPr>
        <w:t>.</w:t>
      </w:r>
      <w:r w:rsidRPr="007F79E4">
        <w:rPr>
          <w:rFonts w:ascii="Geist Fallback" w:hAnsi="Geist Fallback"/>
        </w:rPr>
        <w:t xml:space="preserve"> </w:t>
      </w:r>
      <w:r w:rsidRPr="007F79E4">
        <w:rPr>
          <w:rStyle w:val="cursor-pointer"/>
          <w:rFonts w:ascii="Geist Fallback" w:hAnsi="Geist Fallback"/>
        </w:rPr>
        <w:t>The dysbiosis of the gut is especially likely to lead to elevated levels of pro-inflammatory cytokines and immune cells that may invade the ocular surface and contribute to inflammation and DED.</w:t>
      </w:r>
      <w:r w:rsidRPr="007F79E4">
        <w:rPr>
          <w:rFonts w:ascii="Geist Fallback" w:hAnsi="Geist Fallback"/>
        </w:rPr>
        <w:t xml:space="preserve"> </w:t>
      </w:r>
      <w:r w:rsidRPr="007F79E4">
        <w:rPr>
          <w:rStyle w:val="cursor-pointer"/>
          <w:rFonts w:ascii="Geist Fallback" w:hAnsi="Geist Fallback"/>
        </w:rPr>
        <w:t>Dysbiosis is associated with autoimmune diseases such as rheumatoid arthritis and SLE.</w:t>
      </w:r>
      <w:r w:rsidRPr="007F79E4">
        <w:rPr>
          <w:rFonts w:ascii="Geist Fallback" w:hAnsi="Geist Fallback"/>
        </w:rPr>
        <w:t xml:space="preserve"> </w:t>
      </w:r>
      <w:r w:rsidRPr="007F79E4">
        <w:rPr>
          <w:rStyle w:val="cursor-pointer"/>
          <w:rFonts w:ascii="Geist Fallback" w:hAnsi="Geist Fallback"/>
        </w:rPr>
        <w:t xml:space="preserve">All these diseases are closely associated with DED, characterized by systemic inflammation and ocular surface injury and loss of tear film stability </w:t>
      </w:r>
      <w:r w:rsidR="00E46800">
        <w:rPr>
          <w:rStyle w:val="cursor-pointer"/>
          <w:rFonts w:ascii="Geist Fallback" w:hAnsi="Geist Fallback"/>
        </w:rPr>
        <w:t>[23]</w:t>
      </w:r>
      <w:r w:rsidRPr="007F79E4">
        <w:rPr>
          <w:rStyle w:val="cursor-pointer"/>
          <w:rFonts w:ascii="Geist Fallback" w:hAnsi="Geist Fallback"/>
        </w:rPr>
        <w:t>.</w:t>
      </w:r>
      <w:r w:rsidRPr="007F79E4">
        <w:rPr>
          <w:rFonts w:ascii="Geist Fallback" w:hAnsi="Geist Fallback"/>
        </w:rPr>
        <w:t xml:space="preserve"> </w:t>
      </w:r>
      <w:r w:rsidRPr="007F79E4">
        <w:rPr>
          <w:rStyle w:val="cursor-pointer"/>
          <w:rFonts w:ascii="Geist Fallback" w:hAnsi="Geist Fallback"/>
        </w:rPr>
        <w:t>The gut microbiota produces SCFAs and bile acids, which have been shown to influence the activity of immune cells and the production of cytokines.</w:t>
      </w:r>
      <w:r w:rsidRPr="007F79E4">
        <w:rPr>
          <w:rFonts w:ascii="Geist Fallback" w:hAnsi="Geist Fallback"/>
        </w:rPr>
        <w:t xml:space="preserve"> </w:t>
      </w:r>
      <w:r w:rsidRPr="007F79E4">
        <w:rPr>
          <w:rStyle w:val="cursor-pointer"/>
          <w:rFonts w:ascii="Geist Fallback" w:hAnsi="Geist Fallback"/>
        </w:rPr>
        <w:t>The inflammation cycle is a frequent occurrence in DED and leads to reduced tear formation, increased oxidative stress and the death of epithelial cells.</w:t>
      </w:r>
      <w:r w:rsidRPr="007F79E4">
        <w:rPr>
          <w:rFonts w:ascii="Geist Fallback" w:hAnsi="Geist Fallback"/>
        </w:rPr>
        <w:t xml:space="preserve"> </w:t>
      </w:r>
      <w:r w:rsidRPr="007F79E4">
        <w:rPr>
          <w:rStyle w:val="cursor-pointer"/>
          <w:rFonts w:ascii="Geist Fallback" w:hAnsi="Geist Fallback"/>
        </w:rPr>
        <w:t>This can result in long-term inflammation which may pose a challenge in getting rid of with conventional medicine.</w:t>
      </w:r>
      <w:r w:rsidRPr="007F79E4">
        <w:rPr>
          <w:rFonts w:ascii="Geist Fallback" w:hAnsi="Geist Fallback"/>
        </w:rPr>
        <w:t xml:space="preserve"> </w:t>
      </w:r>
      <w:r w:rsidRPr="007F79E4">
        <w:rPr>
          <w:rStyle w:val="cursor-pointer"/>
          <w:rFonts w:ascii="Geist Fallback" w:hAnsi="Geist Fallback"/>
        </w:rPr>
        <w:t xml:space="preserve">An understanding of the mechanisms by which the gut microbiome regulates inflammatory processes may provide opportunities to design novel DED treatments that involve manipulation of microbial metabolites or the gut-associated immune pathway to break the loop </w:t>
      </w:r>
      <w:r w:rsidR="00C56DC2">
        <w:rPr>
          <w:rStyle w:val="cursor-pointer"/>
          <w:rFonts w:ascii="Geist Fallback" w:hAnsi="Geist Fallback"/>
        </w:rPr>
        <w:t>[24]</w:t>
      </w:r>
      <w:r w:rsidRPr="007F79E4">
        <w:rPr>
          <w:rStyle w:val="cursor-pointer"/>
          <w:rFonts w:ascii="Geist Fallback" w:hAnsi="Geist Fallback"/>
        </w:rPr>
        <w:t>.</w:t>
      </w:r>
    </w:p>
    <w:p w14:paraId="0F16F7D5" w14:textId="77777777" w:rsidR="00781420" w:rsidRDefault="00781420" w:rsidP="00DB363A">
      <w:pPr>
        <w:spacing w:line="276" w:lineRule="auto"/>
        <w:jc w:val="both"/>
        <w:rPr>
          <w:rFonts w:ascii="Times New Roman" w:hAnsi="Times New Roman" w:cs="Times New Roman"/>
        </w:rPr>
      </w:pPr>
    </w:p>
    <w:p w14:paraId="1FD2A19F" w14:textId="77777777" w:rsidR="003930AD" w:rsidRDefault="003930AD" w:rsidP="00DB363A">
      <w:pPr>
        <w:spacing w:line="276" w:lineRule="auto"/>
        <w:jc w:val="both"/>
        <w:rPr>
          <w:rFonts w:ascii="Times New Roman" w:hAnsi="Times New Roman" w:cs="Times New Roman"/>
        </w:rPr>
        <w:sectPr w:rsidR="003930AD" w:rsidSect="00843A1E">
          <w:type w:val="continuous"/>
          <w:pgSz w:w="11906" w:h="16838" w:code="9"/>
          <w:pgMar w:top="720" w:right="720" w:bottom="720" w:left="720" w:header="720" w:footer="0" w:gutter="0"/>
          <w:cols w:num="2" w:space="386"/>
          <w:docGrid w:linePitch="360"/>
        </w:sectPr>
      </w:pPr>
    </w:p>
    <w:p w14:paraId="1B2FA29B" w14:textId="297DF17A" w:rsidR="004B4CF4" w:rsidRPr="007F79E4" w:rsidRDefault="004B4CF4" w:rsidP="004B4CF4">
      <w:pPr>
        <w:spacing w:line="360" w:lineRule="auto"/>
        <w:jc w:val="both"/>
        <w:rPr>
          <w:rFonts w:ascii="Times New Roman" w:hAnsi="Times New Roman" w:cs="Times New Roman"/>
          <w:b/>
          <w:bCs/>
        </w:rPr>
      </w:pPr>
      <w:r w:rsidRPr="007F79E4">
        <w:rPr>
          <w:rFonts w:ascii="Times New Roman" w:hAnsi="Times New Roman" w:cs="Times New Roman"/>
          <w:b/>
          <w:bCs/>
        </w:rPr>
        <w:t>Table 1 Recent work on Gut Microbiota and Dry Eye Disease (DED)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7"/>
        <w:gridCol w:w="2034"/>
        <w:gridCol w:w="2724"/>
        <w:gridCol w:w="1989"/>
        <w:gridCol w:w="3168"/>
      </w:tblGrid>
      <w:tr w:rsidR="004B4CF4" w:rsidRPr="007F79E4" w14:paraId="01173186" w14:textId="77777777" w:rsidTr="00AD11EB">
        <w:tc>
          <w:tcPr>
            <w:tcW w:w="0" w:type="auto"/>
            <w:hideMark/>
          </w:tcPr>
          <w:p w14:paraId="02635E89" w14:textId="77777777" w:rsidR="004B4CF4" w:rsidRPr="007F79E4" w:rsidRDefault="004B4CF4" w:rsidP="00AD11EB">
            <w:pPr>
              <w:spacing w:line="360" w:lineRule="auto"/>
              <w:jc w:val="both"/>
              <w:rPr>
                <w:rFonts w:ascii="Times New Roman" w:hAnsi="Times New Roman" w:cs="Times New Roman"/>
                <w:b/>
                <w:bCs/>
              </w:rPr>
            </w:pPr>
            <w:r w:rsidRPr="007F79E4">
              <w:rPr>
                <w:rFonts w:ascii="Times New Roman" w:hAnsi="Times New Roman" w:cs="Times New Roman"/>
                <w:b/>
                <w:bCs/>
              </w:rPr>
              <w:t>Study</w:t>
            </w:r>
          </w:p>
        </w:tc>
        <w:tc>
          <w:tcPr>
            <w:tcW w:w="0" w:type="auto"/>
            <w:hideMark/>
          </w:tcPr>
          <w:p w14:paraId="392E65E4" w14:textId="77777777" w:rsidR="004B4CF4" w:rsidRPr="007F79E4" w:rsidRDefault="004B4CF4" w:rsidP="00AD11EB">
            <w:pPr>
              <w:spacing w:line="360" w:lineRule="auto"/>
              <w:jc w:val="both"/>
              <w:rPr>
                <w:rFonts w:ascii="Times New Roman" w:hAnsi="Times New Roman" w:cs="Times New Roman"/>
                <w:b/>
                <w:bCs/>
              </w:rPr>
            </w:pPr>
            <w:r w:rsidRPr="007F79E4">
              <w:rPr>
                <w:rFonts w:ascii="Times New Roman" w:hAnsi="Times New Roman" w:cs="Times New Roman"/>
                <w:b/>
                <w:bCs/>
              </w:rPr>
              <w:t>Key Focus</w:t>
            </w:r>
          </w:p>
        </w:tc>
        <w:tc>
          <w:tcPr>
            <w:tcW w:w="0" w:type="auto"/>
            <w:hideMark/>
          </w:tcPr>
          <w:p w14:paraId="4407B78B" w14:textId="77777777" w:rsidR="004B4CF4" w:rsidRPr="007F79E4" w:rsidRDefault="004B4CF4" w:rsidP="00AD11EB">
            <w:pPr>
              <w:spacing w:line="360" w:lineRule="auto"/>
              <w:jc w:val="both"/>
              <w:rPr>
                <w:rFonts w:ascii="Times New Roman" w:hAnsi="Times New Roman" w:cs="Times New Roman"/>
                <w:b/>
                <w:bCs/>
              </w:rPr>
            </w:pPr>
            <w:r w:rsidRPr="007F79E4">
              <w:rPr>
                <w:rFonts w:ascii="Times New Roman" w:hAnsi="Times New Roman" w:cs="Times New Roman"/>
                <w:b/>
                <w:bCs/>
              </w:rPr>
              <w:t>Findings</w:t>
            </w:r>
          </w:p>
        </w:tc>
        <w:tc>
          <w:tcPr>
            <w:tcW w:w="0" w:type="auto"/>
            <w:hideMark/>
          </w:tcPr>
          <w:p w14:paraId="7719268F" w14:textId="77777777" w:rsidR="004B4CF4" w:rsidRPr="007F79E4" w:rsidRDefault="004B4CF4" w:rsidP="00AD11EB">
            <w:pPr>
              <w:spacing w:line="360" w:lineRule="auto"/>
              <w:jc w:val="both"/>
              <w:rPr>
                <w:rFonts w:ascii="Times New Roman" w:hAnsi="Times New Roman" w:cs="Times New Roman"/>
                <w:b/>
                <w:bCs/>
              </w:rPr>
            </w:pPr>
            <w:r w:rsidRPr="007F79E4">
              <w:rPr>
                <w:rFonts w:ascii="Times New Roman" w:hAnsi="Times New Roman" w:cs="Times New Roman"/>
                <w:b/>
                <w:bCs/>
              </w:rPr>
              <w:t>Methods</w:t>
            </w:r>
          </w:p>
        </w:tc>
        <w:tc>
          <w:tcPr>
            <w:tcW w:w="0" w:type="auto"/>
            <w:hideMark/>
          </w:tcPr>
          <w:p w14:paraId="1AE93EB4" w14:textId="77777777" w:rsidR="004B4CF4" w:rsidRPr="007F79E4" w:rsidRDefault="004B4CF4" w:rsidP="00AD11EB">
            <w:pPr>
              <w:spacing w:line="360" w:lineRule="auto"/>
              <w:jc w:val="both"/>
              <w:rPr>
                <w:rFonts w:ascii="Times New Roman" w:hAnsi="Times New Roman" w:cs="Times New Roman"/>
                <w:b/>
                <w:bCs/>
              </w:rPr>
            </w:pPr>
            <w:r w:rsidRPr="007F79E4">
              <w:rPr>
                <w:rFonts w:ascii="Times New Roman" w:hAnsi="Times New Roman" w:cs="Times New Roman"/>
                <w:b/>
                <w:bCs/>
              </w:rPr>
              <w:t>Conclusion</w:t>
            </w:r>
          </w:p>
        </w:tc>
      </w:tr>
      <w:tr w:rsidR="004B4CF4" w:rsidRPr="007F79E4" w14:paraId="4D806CA6" w14:textId="77777777" w:rsidTr="00AD11EB">
        <w:tc>
          <w:tcPr>
            <w:tcW w:w="0" w:type="auto"/>
            <w:hideMark/>
          </w:tcPr>
          <w:p w14:paraId="71D382A5" w14:textId="22CF5A6D" w:rsidR="004B4CF4" w:rsidRPr="00284139" w:rsidRDefault="00FA0060" w:rsidP="00AD11EB">
            <w:pPr>
              <w:spacing w:line="360" w:lineRule="auto"/>
              <w:jc w:val="both"/>
              <w:rPr>
                <w:rFonts w:ascii="Times New Roman" w:hAnsi="Times New Roman" w:cs="Times New Roman"/>
              </w:rPr>
            </w:pPr>
            <w:r w:rsidRPr="00284139">
              <w:rPr>
                <w:rFonts w:ascii="Times New Roman" w:hAnsi="Times New Roman" w:cs="Times New Roman"/>
              </w:rPr>
              <w:t>[25]</w:t>
            </w:r>
          </w:p>
        </w:tc>
        <w:tc>
          <w:tcPr>
            <w:tcW w:w="0" w:type="auto"/>
            <w:hideMark/>
          </w:tcPr>
          <w:p w14:paraId="5A47F125"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 xml:space="preserve">Impact of gut microbiota on eye </w:t>
            </w:r>
            <w:r w:rsidRPr="007F79E4">
              <w:rPr>
                <w:rFonts w:ascii="Times New Roman" w:hAnsi="Times New Roman" w:cs="Times New Roman"/>
              </w:rPr>
              <w:lastRenderedPageBreak/>
              <w:t>health</w:t>
            </w:r>
          </w:p>
        </w:tc>
        <w:tc>
          <w:tcPr>
            <w:tcW w:w="0" w:type="auto"/>
            <w:hideMark/>
          </w:tcPr>
          <w:p w14:paraId="14FB11E7"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lastRenderedPageBreak/>
              <w:t>Found that gut dysbiosis worsens DED.</w:t>
            </w:r>
          </w:p>
        </w:tc>
        <w:tc>
          <w:tcPr>
            <w:tcW w:w="0" w:type="auto"/>
            <w:hideMark/>
          </w:tcPr>
          <w:p w14:paraId="7EEA8F40"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 xml:space="preserve">Animal models, 16S rRNA </w:t>
            </w:r>
            <w:r w:rsidRPr="007F79E4">
              <w:rPr>
                <w:rFonts w:ascii="Times New Roman" w:hAnsi="Times New Roman" w:cs="Times New Roman"/>
              </w:rPr>
              <w:lastRenderedPageBreak/>
              <w:t>sequencing</w:t>
            </w:r>
          </w:p>
        </w:tc>
        <w:tc>
          <w:tcPr>
            <w:tcW w:w="0" w:type="auto"/>
            <w:hideMark/>
          </w:tcPr>
          <w:p w14:paraId="07867D45"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lastRenderedPageBreak/>
              <w:t xml:space="preserve">Dysbiosis of gut microbiota may worsen DED, indicating a </w:t>
            </w:r>
            <w:r w:rsidRPr="007F79E4">
              <w:rPr>
                <w:rFonts w:ascii="Times New Roman" w:hAnsi="Times New Roman" w:cs="Times New Roman"/>
              </w:rPr>
              <w:lastRenderedPageBreak/>
              <w:t>therapeutic focus.</w:t>
            </w:r>
          </w:p>
        </w:tc>
      </w:tr>
      <w:tr w:rsidR="004B4CF4" w:rsidRPr="007F79E4" w14:paraId="2B0132C3" w14:textId="77777777" w:rsidTr="00AD11EB">
        <w:tc>
          <w:tcPr>
            <w:tcW w:w="0" w:type="auto"/>
            <w:hideMark/>
          </w:tcPr>
          <w:p w14:paraId="52D4F911" w14:textId="184A03FD" w:rsidR="004B4CF4" w:rsidRPr="00284139" w:rsidRDefault="008B5629" w:rsidP="00AD11EB">
            <w:pPr>
              <w:spacing w:line="360" w:lineRule="auto"/>
              <w:jc w:val="both"/>
              <w:rPr>
                <w:rFonts w:ascii="Times New Roman" w:hAnsi="Times New Roman" w:cs="Times New Roman"/>
              </w:rPr>
            </w:pPr>
            <w:r>
              <w:rPr>
                <w:rFonts w:ascii="Times New Roman" w:hAnsi="Times New Roman" w:cs="Times New Roman"/>
              </w:rPr>
              <w:lastRenderedPageBreak/>
              <w:t>[26]</w:t>
            </w:r>
          </w:p>
        </w:tc>
        <w:tc>
          <w:tcPr>
            <w:tcW w:w="0" w:type="auto"/>
            <w:hideMark/>
          </w:tcPr>
          <w:p w14:paraId="4F63D612"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Probiotics and Dry Eye Disease</w:t>
            </w:r>
          </w:p>
        </w:tc>
        <w:tc>
          <w:tcPr>
            <w:tcW w:w="0" w:type="auto"/>
            <w:hideMark/>
          </w:tcPr>
          <w:p w14:paraId="441842A9"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Investigated the role of probiotics in alleviating DED symptoms</w:t>
            </w:r>
          </w:p>
        </w:tc>
        <w:tc>
          <w:tcPr>
            <w:tcW w:w="0" w:type="auto"/>
            <w:hideMark/>
          </w:tcPr>
          <w:p w14:paraId="71C22A3A"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Randomized controlled trial</w:t>
            </w:r>
          </w:p>
        </w:tc>
        <w:tc>
          <w:tcPr>
            <w:tcW w:w="0" w:type="auto"/>
            <w:hideMark/>
          </w:tcPr>
          <w:p w14:paraId="40DAF54C"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Probiotic supplementation led to improved tear production and reduced inflammation in DED patients</w:t>
            </w:r>
          </w:p>
        </w:tc>
      </w:tr>
      <w:tr w:rsidR="004B4CF4" w:rsidRPr="007F79E4" w14:paraId="76C987C1" w14:textId="77777777" w:rsidTr="00AD11EB">
        <w:tc>
          <w:tcPr>
            <w:tcW w:w="0" w:type="auto"/>
            <w:hideMark/>
          </w:tcPr>
          <w:p w14:paraId="6805279F" w14:textId="7FE336FF" w:rsidR="004B4CF4" w:rsidRPr="00284139" w:rsidRDefault="00C36824" w:rsidP="00AD11EB">
            <w:pPr>
              <w:spacing w:line="360" w:lineRule="auto"/>
              <w:jc w:val="both"/>
              <w:rPr>
                <w:rFonts w:ascii="Times New Roman" w:hAnsi="Times New Roman" w:cs="Times New Roman"/>
              </w:rPr>
            </w:pPr>
            <w:r>
              <w:rPr>
                <w:rFonts w:ascii="Times New Roman" w:hAnsi="Times New Roman" w:cs="Times New Roman"/>
              </w:rPr>
              <w:t>[27]</w:t>
            </w:r>
          </w:p>
        </w:tc>
        <w:tc>
          <w:tcPr>
            <w:tcW w:w="0" w:type="auto"/>
            <w:hideMark/>
          </w:tcPr>
          <w:p w14:paraId="28CDF53A"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Gut-brain-ocular axis in DED</w:t>
            </w:r>
          </w:p>
        </w:tc>
        <w:tc>
          <w:tcPr>
            <w:tcW w:w="0" w:type="auto"/>
            <w:hideMark/>
          </w:tcPr>
          <w:p w14:paraId="00456C38"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Examined gut microbiota's effects on the CNS and eyes.</w:t>
            </w:r>
          </w:p>
        </w:tc>
        <w:tc>
          <w:tcPr>
            <w:tcW w:w="0" w:type="auto"/>
            <w:hideMark/>
          </w:tcPr>
          <w:p w14:paraId="02555206"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Human clinical study, microbiome analysis</w:t>
            </w:r>
          </w:p>
        </w:tc>
        <w:tc>
          <w:tcPr>
            <w:tcW w:w="0" w:type="auto"/>
            <w:hideMark/>
          </w:tcPr>
          <w:p w14:paraId="1E387412"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Gut microbiota can cause DED by affecting the autonomic nerve system.</w:t>
            </w:r>
          </w:p>
        </w:tc>
      </w:tr>
      <w:tr w:rsidR="004B4CF4" w:rsidRPr="007F79E4" w14:paraId="642F7188" w14:textId="77777777" w:rsidTr="00AD11EB">
        <w:tc>
          <w:tcPr>
            <w:tcW w:w="0" w:type="auto"/>
            <w:hideMark/>
          </w:tcPr>
          <w:p w14:paraId="2C69DE07" w14:textId="5177B123" w:rsidR="004B4CF4" w:rsidRPr="00284139" w:rsidRDefault="00BE757B" w:rsidP="00AD11EB">
            <w:pPr>
              <w:spacing w:line="360" w:lineRule="auto"/>
              <w:jc w:val="both"/>
              <w:rPr>
                <w:rFonts w:ascii="Times New Roman" w:hAnsi="Times New Roman" w:cs="Times New Roman"/>
              </w:rPr>
            </w:pPr>
            <w:r>
              <w:rPr>
                <w:rFonts w:ascii="Times New Roman" w:hAnsi="Times New Roman" w:cs="Times New Roman"/>
              </w:rPr>
              <w:t>[28]</w:t>
            </w:r>
          </w:p>
        </w:tc>
        <w:tc>
          <w:tcPr>
            <w:tcW w:w="0" w:type="auto"/>
            <w:hideMark/>
          </w:tcPr>
          <w:p w14:paraId="74778BC8"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Gut microbiota modulation and DED prevention</w:t>
            </w:r>
          </w:p>
        </w:tc>
        <w:tc>
          <w:tcPr>
            <w:tcW w:w="0" w:type="auto"/>
            <w:hideMark/>
          </w:tcPr>
          <w:p w14:paraId="293A5E4F"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Evaluated gut microbiota modulation as a preventive approach to DED</w:t>
            </w:r>
          </w:p>
        </w:tc>
        <w:tc>
          <w:tcPr>
            <w:tcW w:w="0" w:type="auto"/>
            <w:hideMark/>
          </w:tcPr>
          <w:p w14:paraId="3F40D0D8"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Animal models, microbiome analysis</w:t>
            </w:r>
          </w:p>
        </w:tc>
        <w:tc>
          <w:tcPr>
            <w:tcW w:w="0" w:type="auto"/>
            <w:hideMark/>
          </w:tcPr>
          <w:p w14:paraId="3498C7A2"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Restoring gut microbiota balance reduced inflammation and ocular damage in DED models</w:t>
            </w:r>
          </w:p>
        </w:tc>
      </w:tr>
      <w:tr w:rsidR="004B4CF4" w:rsidRPr="007F79E4" w14:paraId="7B3BE893" w14:textId="77777777" w:rsidTr="00AD11EB">
        <w:tc>
          <w:tcPr>
            <w:tcW w:w="0" w:type="auto"/>
            <w:hideMark/>
          </w:tcPr>
          <w:p w14:paraId="0B236CE4" w14:textId="6436F9A2" w:rsidR="004B4CF4" w:rsidRPr="00284139" w:rsidRDefault="00064C44" w:rsidP="00AD11EB">
            <w:pPr>
              <w:spacing w:line="360" w:lineRule="auto"/>
              <w:jc w:val="both"/>
              <w:rPr>
                <w:rFonts w:ascii="Times New Roman" w:hAnsi="Times New Roman" w:cs="Times New Roman"/>
              </w:rPr>
            </w:pPr>
            <w:r>
              <w:rPr>
                <w:rFonts w:ascii="Times New Roman" w:hAnsi="Times New Roman" w:cs="Times New Roman"/>
              </w:rPr>
              <w:t>[29]</w:t>
            </w:r>
          </w:p>
        </w:tc>
        <w:tc>
          <w:tcPr>
            <w:tcW w:w="0" w:type="auto"/>
            <w:hideMark/>
          </w:tcPr>
          <w:p w14:paraId="69150B51"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Immune response and gut microbiota in DED</w:t>
            </w:r>
          </w:p>
        </w:tc>
        <w:tc>
          <w:tcPr>
            <w:tcW w:w="0" w:type="auto"/>
            <w:hideMark/>
          </w:tcPr>
          <w:p w14:paraId="67600DDF"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Examined the role of immune response triggered by gut microbiota in DED pathogenesis</w:t>
            </w:r>
          </w:p>
        </w:tc>
        <w:tc>
          <w:tcPr>
            <w:tcW w:w="0" w:type="auto"/>
            <w:hideMark/>
          </w:tcPr>
          <w:p w14:paraId="6B010FFB"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Human and animal studies</w:t>
            </w:r>
          </w:p>
        </w:tc>
        <w:tc>
          <w:tcPr>
            <w:tcW w:w="0" w:type="auto"/>
            <w:hideMark/>
          </w:tcPr>
          <w:p w14:paraId="22CF0693"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Immune dysregulation via gut microbiota imbalance plays a role in DED development</w:t>
            </w:r>
          </w:p>
        </w:tc>
      </w:tr>
      <w:tr w:rsidR="004B4CF4" w:rsidRPr="007F79E4" w14:paraId="4BBA2435" w14:textId="77777777" w:rsidTr="00AD11EB">
        <w:tc>
          <w:tcPr>
            <w:tcW w:w="0" w:type="auto"/>
            <w:hideMark/>
          </w:tcPr>
          <w:p w14:paraId="445651ED" w14:textId="64CF04C6" w:rsidR="004B4CF4" w:rsidRPr="00284139" w:rsidRDefault="006D6320" w:rsidP="00AD11EB">
            <w:pPr>
              <w:spacing w:line="360" w:lineRule="auto"/>
              <w:jc w:val="both"/>
              <w:rPr>
                <w:rFonts w:ascii="Times New Roman" w:hAnsi="Times New Roman" w:cs="Times New Roman"/>
              </w:rPr>
            </w:pPr>
            <w:r>
              <w:rPr>
                <w:rFonts w:ascii="Times New Roman" w:hAnsi="Times New Roman" w:cs="Times New Roman"/>
              </w:rPr>
              <w:t>[30]</w:t>
            </w:r>
          </w:p>
        </w:tc>
        <w:tc>
          <w:tcPr>
            <w:tcW w:w="0" w:type="auto"/>
            <w:hideMark/>
          </w:tcPr>
          <w:p w14:paraId="3E91DB1F"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Microbial imbalance and DED</w:t>
            </w:r>
          </w:p>
        </w:tc>
        <w:tc>
          <w:tcPr>
            <w:tcW w:w="0" w:type="auto"/>
            <w:hideMark/>
          </w:tcPr>
          <w:p w14:paraId="7C900EEC"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Investigated microbial shifts in the gut in patients with DED</w:t>
            </w:r>
          </w:p>
        </w:tc>
        <w:tc>
          <w:tcPr>
            <w:tcW w:w="0" w:type="auto"/>
            <w:hideMark/>
          </w:tcPr>
          <w:p w14:paraId="3D996BB2"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Cross-sectional study, gut microbiome sequencing</w:t>
            </w:r>
          </w:p>
        </w:tc>
        <w:tc>
          <w:tcPr>
            <w:tcW w:w="0" w:type="auto"/>
            <w:hideMark/>
          </w:tcPr>
          <w:p w14:paraId="41C55E29"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Gut microbiota imbalance was found to be associated with an increased risk of DED</w:t>
            </w:r>
          </w:p>
        </w:tc>
      </w:tr>
      <w:tr w:rsidR="004B4CF4" w:rsidRPr="007F79E4" w14:paraId="56F41D86" w14:textId="77777777" w:rsidTr="00AD11EB">
        <w:tc>
          <w:tcPr>
            <w:tcW w:w="0" w:type="auto"/>
            <w:hideMark/>
          </w:tcPr>
          <w:p w14:paraId="3F0BF2E0" w14:textId="6BB41131" w:rsidR="004B4CF4" w:rsidRPr="00284139" w:rsidRDefault="003347D6" w:rsidP="00AD11EB">
            <w:pPr>
              <w:spacing w:line="360" w:lineRule="auto"/>
              <w:jc w:val="both"/>
              <w:rPr>
                <w:rFonts w:ascii="Times New Roman" w:hAnsi="Times New Roman" w:cs="Times New Roman"/>
              </w:rPr>
            </w:pPr>
            <w:r>
              <w:rPr>
                <w:rFonts w:ascii="Times New Roman" w:hAnsi="Times New Roman" w:cs="Times New Roman"/>
              </w:rPr>
              <w:t>[31]</w:t>
            </w:r>
          </w:p>
        </w:tc>
        <w:tc>
          <w:tcPr>
            <w:tcW w:w="0" w:type="auto"/>
            <w:hideMark/>
          </w:tcPr>
          <w:p w14:paraId="48714B40"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Inflammatory cytokines, gut microbiome, DED</w:t>
            </w:r>
          </w:p>
        </w:tc>
        <w:tc>
          <w:tcPr>
            <w:tcW w:w="0" w:type="auto"/>
            <w:hideMark/>
          </w:tcPr>
          <w:p w14:paraId="3D60A1DA"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Researched gut microbiota and ocular inflammation in DED.</w:t>
            </w:r>
          </w:p>
        </w:tc>
        <w:tc>
          <w:tcPr>
            <w:tcW w:w="0" w:type="auto"/>
            <w:hideMark/>
          </w:tcPr>
          <w:p w14:paraId="3F2E0C99"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Animal models, cytokine assays</w:t>
            </w:r>
          </w:p>
        </w:tc>
        <w:tc>
          <w:tcPr>
            <w:tcW w:w="0" w:type="auto"/>
            <w:hideMark/>
          </w:tcPr>
          <w:p w14:paraId="64A632B4" w14:textId="77777777" w:rsidR="004B4CF4" w:rsidRPr="007F79E4" w:rsidRDefault="004B4CF4" w:rsidP="00AD11EB">
            <w:pPr>
              <w:spacing w:line="360" w:lineRule="auto"/>
              <w:jc w:val="both"/>
              <w:rPr>
                <w:rFonts w:ascii="Times New Roman" w:hAnsi="Times New Roman" w:cs="Times New Roman"/>
              </w:rPr>
            </w:pPr>
            <w:r w:rsidRPr="007F79E4">
              <w:rPr>
                <w:rFonts w:ascii="Times New Roman" w:hAnsi="Times New Roman" w:cs="Times New Roman"/>
              </w:rPr>
              <w:t>In DED models, gut microbiome changes enhanced ocular inflammation.</w:t>
            </w:r>
          </w:p>
        </w:tc>
      </w:tr>
    </w:tbl>
    <w:p w14:paraId="57395311" w14:textId="7A8359C1" w:rsidR="00781420" w:rsidRPr="00E57637" w:rsidRDefault="00781420" w:rsidP="004B4CF4">
      <w:pPr>
        <w:spacing w:line="276" w:lineRule="auto"/>
        <w:jc w:val="both"/>
        <w:rPr>
          <w:rFonts w:ascii="Times New Roman" w:hAnsi="Times New Roman" w:cs="Times New Roman"/>
          <w:color w:val="00B050"/>
        </w:rPr>
      </w:pPr>
    </w:p>
    <w:p w14:paraId="0CE9CF7A" w14:textId="77777777" w:rsidR="00781420" w:rsidRDefault="00781420" w:rsidP="00DB363A">
      <w:pPr>
        <w:spacing w:line="276" w:lineRule="auto"/>
        <w:jc w:val="both"/>
        <w:rPr>
          <w:rFonts w:ascii="Times New Roman" w:hAnsi="Times New Roman" w:cs="Times New Roman"/>
        </w:rPr>
        <w:sectPr w:rsidR="00781420" w:rsidSect="00781420">
          <w:type w:val="continuous"/>
          <w:pgSz w:w="11906" w:h="16838" w:code="9"/>
          <w:pgMar w:top="720" w:right="720" w:bottom="720" w:left="720" w:header="720" w:footer="0" w:gutter="0"/>
          <w:cols w:space="386"/>
          <w:docGrid w:linePitch="360"/>
        </w:sectPr>
      </w:pPr>
    </w:p>
    <w:p w14:paraId="3D4B1E77" w14:textId="5E105479" w:rsidR="00EB3C83" w:rsidRDefault="009A6689" w:rsidP="009A6689">
      <w:pPr>
        <w:spacing w:line="276" w:lineRule="auto"/>
        <w:jc w:val="center"/>
        <w:rPr>
          <w:rFonts w:ascii="Times" w:hAnsi="Times"/>
          <w:b/>
          <w:color w:val="2E74B5" w:themeColor="accent5" w:themeShade="BF"/>
        </w:rPr>
      </w:pPr>
      <w:r>
        <w:rPr>
          <w:noProof/>
        </w:rPr>
        <w:lastRenderedPageBreak/>
        <w:drawing>
          <wp:inline distT="0" distB="0" distL="0" distR="0" wp14:anchorId="7C835D50" wp14:editId="0B1B42B6">
            <wp:extent cx="4817533" cy="4367246"/>
            <wp:effectExtent l="0" t="0" r="0" b="0"/>
            <wp:docPr id="103750534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t="9346"/>
                    <a:stretch>
                      <a:fillRect/>
                    </a:stretch>
                  </pic:blipFill>
                  <pic:spPr bwMode="auto">
                    <a:xfrm>
                      <a:off x="0" y="0"/>
                      <a:ext cx="4822511" cy="4371759"/>
                    </a:xfrm>
                    <a:prstGeom prst="rect">
                      <a:avLst/>
                    </a:prstGeom>
                    <a:noFill/>
                    <a:ln>
                      <a:noFill/>
                    </a:ln>
                  </pic:spPr>
                </pic:pic>
              </a:graphicData>
            </a:graphic>
          </wp:inline>
        </w:drawing>
      </w:r>
    </w:p>
    <w:p w14:paraId="7D192763" w14:textId="76BBA136" w:rsidR="00EB3C83" w:rsidRDefault="009A6689" w:rsidP="009A6689">
      <w:pPr>
        <w:spacing w:line="276" w:lineRule="auto"/>
        <w:jc w:val="center"/>
        <w:rPr>
          <w:rFonts w:ascii="Times" w:hAnsi="Times"/>
          <w:b/>
          <w:color w:val="2E74B5" w:themeColor="accent5" w:themeShade="BF"/>
        </w:rPr>
      </w:pPr>
      <w:r w:rsidRPr="00A04BF7">
        <w:rPr>
          <w:rFonts w:ascii="Times New Roman" w:hAnsi="Times New Roman" w:cs="Times New Roman"/>
          <w:b/>
          <w:bCs/>
        </w:rPr>
        <w:t xml:space="preserve">Figure </w:t>
      </w:r>
      <w:r>
        <w:rPr>
          <w:rFonts w:ascii="Times New Roman" w:hAnsi="Times New Roman" w:cs="Times New Roman"/>
          <w:b/>
          <w:bCs/>
        </w:rPr>
        <w:t>2</w:t>
      </w:r>
      <w:r w:rsidRPr="00A04BF7">
        <w:rPr>
          <w:rFonts w:ascii="Times New Roman" w:hAnsi="Times New Roman" w:cs="Times New Roman"/>
          <w:b/>
          <w:bCs/>
        </w:rPr>
        <w:t xml:space="preserve"> </w:t>
      </w:r>
      <w:r w:rsidRPr="005953AF">
        <w:rPr>
          <w:rFonts w:ascii="Times New Roman" w:hAnsi="Times New Roman" w:cs="Times New Roman"/>
          <w:b/>
          <w:bCs/>
        </w:rPr>
        <w:t>Gut-Brain axis mechanisms linking stress, dysbiosis, and mental health</w:t>
      </w:r>
    </w:p>
    <w:p w14:paraId="7AC091E1" w14:textId="77777777" w:rsidR="009A6689" w:rsidRDefault="009A6689" w:rsidP="00DB363A">
      <w:pPr>
        <w:spacing w:line="276" w:lineRule="auto"/>
        <w:jc w:val="both"/>
        <w:rPr>
          <w:rFonts w:ascii="Times" w:hAnsi="Times"/>
          <w:b/>
          <w:color w:val="2E74B5" w:themeColor="accent5" w:themeShade="BF"/>
        </w:rPr>
      </w:pPr>
    </w:p>
    <w:p w14:paraId="7C271000" w14:textId="77777777" w:rsidR="009A6689" w:rsidRDefault="009A6689" w:rsidP="00DB363A">
      <w:pPr>
        <w:spacing w:line="276" w:lineRule="auto"/>
        <w:jc w:val="both"/>
        <w:rPr>
          <w:rFonts w:ascii="Times" w:hAnsi="Times"/>
          <w:b/>
          <w:color w:val="2E74B5" w:themeColor="accent5" w:themeShade="BF"/>
        </w:rPr>
        <w:sectPr w:rsidR="009A6689" w:rsidSect="00EB3C83">
          <w:type w:val="continuous"/>
          <w:pgSz w:w="11906" w:h="16838" w:code="9"/>
          <w:pgMar w:top="851" w:right="851" w:bottom="851" w:left="851" w:header="720" w:footer="0" w:gutter="0"/>
          <w:cols w:space="386"/>
          <w:docGrid w:linePitch="360"/>
        </w:sectPr>
      </w:pPr>
    </w:p>
    <w:p w14:paraId="26BDE25F" w14:textId="17C52649" w:rsidR="003D3D96" w:rsidRPr="008025AD" w:rsidRDefault="003D3D96" w:rsidP="00DB363A">
      <w:pPr>
        <w:spacing w:line="276" w:lineRule="auto"/>
        <w:jc w:val="both"/>
        <w:rPr>
          <w:rFonts w:ascii="Times" w:hAnsi="Times"/>
          <w:b/>
          <w:color w:val="0070C0"/>
        </w:rPr>
      </w:pPr>
      <w:r w:rsidRPr="008025AD">
        <w:rPr>
          <w:rFonts w:ascii="Times" w:hAnsi="Times"/>
          <w:b/>
          <w:color w:val="0070C0"/>
        </w:rPr>
        <w:t xml:space="preserve">3. </w:t>
      </w:r>
      <w:r w:rsidR="005F59AB" w:rsidRPr="008025AD">
        <w:rPr>
          <w:rFonts w:ascii="Times New Roman" w:hAnsi="Times New Roman" w:cs="Times New Roman"/>
          <w:b/>
          <w:bCs/>
          <w:color w:val="0070C0"/>
        </w:rPr>
        <w:t>GUT MICROBIOME AND ITS METABOLITES</w:t>
      </w:r>
    </w:p>
    <w:p w14:paraId="2C911EA5" w14:textId="4A3E9A83" w:rsidR="003D3D96" w:rsidRPr="008025AD" w:rsidRDefault="003D3D96" w:rsidP="00DB363A">
      <w:pPr>
        <w:pStyle w:val="ListParagraph"/>
        <w:spacing w:after="160" w:line="276" w:lineRule="auto"/>
        <w:ind w:left="0"/>
        <w:contextualSpacing/>
        <w:rPr>
          <w:rFonts w:ascii="Times" w:hAnsi="Times"/>
          <w:b/>
          <w:color w:val="0070C0"/>
        </w:rPr>
      </w:pPr>
      <w:r w:rsidRPr="008025AD">
        <w:rPr>
          <w:rFonts w:ascii="Times" w:hAnsi="Times"/>
          <w:b/>
          <w:color w:val="0070C0"/>
        </w:rPr>
        <w:t xml:space="preserve">         3.1 </w:t>
      </w:r>
      <w:r w:rsidR="005F59AB" w:rsidRPr="008025AD">
        <w:rPr>
          <w:b/>
          <w:bCs/>
          <w:color w:val="0070C0"/>
        </w:rPr>
        <w:t>Composition of the gut microbiome</w:t>
      </w:r>
    </w:p>
    <w:p w14:paraId="76AE4849" w14:textId="2BE32012" w:rsidR="003D3D96" w:rsidRPr="003D3D96" w:rsidRDefault="005F59AB" w:rsidP="00DB363A">
      <w:pPr>
        <w:pStyle w:val="ListParagraph"/>
        <w:spacing w:after="160" w:line="276" w:lineRule="auto"/>
        <w:ind w:left="0" w:firstLine="0"/>
        <w:contextualSpacing/>
        <w:rPr>
          <w:rFonts w:ascii="Times" w:hAnsi="Times"/>
        </w:rPr>
      </w:pPr>
      <w:r>
        <w:rPr>
          <w:rStyle w:val="cursor-pointer"/>
          <w:rFonts w:ascii="Geist Fallback" w:hAnsi="Geist Fallback"/>
          <w:sz w:val="23"/>
          <w:szCs w:val="23"/>
        </w:rPr>
        <w:t>The human gut microbiome is an intricate ecosystem of trillions of billions of bacteria, viruses, fungus and archaea.</w:t>
      </w:r>
      <w:r>
        <w:rPr>
          <w:rFonts w:ascii="Geist Fallback" w:hAnsi="Geist Fallback"/>
          <w:sz w:val="23"/>
          <w:szCs w:val="23"/>
        </w:rPr>
        <w:t xml:space="preserve"> </w:t>
      </w:r>
      <w:r>
        <w:rPr>
          <w:rStyle w:val="cursor-pointer"/>
          <w:rFonts w:ascii="Geist Fallback" w:hAnsi="Geist Fallback"/>
          <w:sz w:val="23"/>
          <w:szCs w:val="23"/>
        </w:rPr>
        <w:t xml:space="preserve">It is estimated that there are almost 1000 species of bacteria with extremely high diversity that varies so drastically between individuals due to food, age, genetics, and lifestyle </w:t>
      </w:r>
      <w:r w:rsidR="002E6592">
        <w:rPr>
          <w:rStyle w:val="cursor-pointer"/>
          <w:rFonts w:ascii="Geist Fallback" w:hAnsi="Geist Fallback"/>
          <w:sz w:val="23"/>
          <w:szCs w:val="23"/>
        </w:rPr>
        <w:t>[25]</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 xml:space="preserve">More than 90% of the intestinal bacteria belong to two groups of bacteria: Firmicutes and Bacteroidetes, Actinobacteria and Proteobacteria, and </w:t>
      </w:r>
      <w:proofErr w:type="spellStart"/>
      <w:r>
        <w:rPr>
          <w:rStyle w:val="cursor-pointer"/>
          <w:rFonts w:ascii="Geist Fallback" w:hAnsi="Geist Fallback"/>
          <w:sz w:val="23"/>
          <w:szCs w:val="23"/>
        </w:rPr>
        <w:t>Verrucomicrobia</w:t>
      </w:r>
      <w:proofErr w:type="spellEnd"/>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 xml:space="preserve">The diversity of the microbial populations in the different segment of the gastrointestinal tract, from esophagus to the colon is highest in the colon </w:t>
      </w:r>
      <w:r w:rsidR="0009667B">
        <w:rPr>
          <w:rStyle w:val="cursor-pointer"/>
          <w:rFonts w:ascii="Geist Fallback" w:hAnsi="Geist Fallback"/>
          <w:sz w:val="23"/>
          <w:szCs w:val="23"/>
        </w:rPr>
        <w:t>[32]</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 xml:space="preserve">Gut microbiota </w:t>
      </w:r>
      <w:proofErr w:type="gramStart"/>
      <w:r>
        <w:rPr>
          <w:rStyle w:val="cursor-pointer"/>
          <w:rFonts w:ascii="Geist Fallback" w:hAnsi="Geist Fallback"/>
          <w:sz w:val="23"/>
          <w:szCs w:val="23"/>
        </w:rPr>
        <w:t>play</w:t>
      </w:r>
      <w:proofErr w:type="gramEnd"/>
      <w:r>
        <w:rPr>
          <w:rStyle w:val="cursor-pointer"/>
          <w:rFonts w:ascii="Geist Fallback" w:hAnsi="Geist Fallback"/>
          <w:sz w:val="23"/>
          <w:szCs w:val="23"/>
        </w:rPr>
        <w:t xml:space="preserve"> an important role in digestive function, modulation of the immune system, protection against pathogenic invasion and production of metabolites.</w:t>
      </w:r>
      <w:r>
        <w:rPr>
          <w:rFonts w:ascii="Geist Fallback" w:hAnsi="Geist Fallback"/>
          <w:sz w:val="23"/>
          <w:szCs w:val="23"/>
        </w:rPr>
        <w:t xml:space="preserve"> </w:t>
      </w:r>
      <w:r>
        <w:rPr>
          <w:rStyle w:val="cursor-pointer"/>
          <w:rFonts w:ascii="Geist Fallback" w:hAnsi="Geist Fallback"/>
          <w:sz w:val="23"/>
          <w:szCs w:val="23"/>
        </w:rPr>
        <w:t>Diet changes and subsequent drug therapy may cause an alteration of the environment and an imbalance of certain microbes.</w:t>
      </w:r>
      <w:r>
        <w:rPr>
          <w:rFonts w:ascii="Geist Fallback" w:hAnsi="Geist Fallback"/>
          <w:sz w:val="23"/>
          <w:szCs w:val="23"/>
        </w:rPr>
        <w:t xml:space="preserve"> </w:t>
      </w:r>
      <w:r>
        <w:rPr>
          <w:rStyle w:val="cursor-pointer"/>
          <w:rFonts w:ascii="Geist Fallback" w:hAnsi="Geist Fallback"/>
          <w:sz w:val="23"/>
          <w:szCs w:val="23"/>
        </w:rPr>
        <w:t xml:space="preserve">This phenomenon of an imbalance of microbial composition referred to as dysbiosis, has </w:t>
      </w:r>
      <w:r>
        <w:rPr>
          <w:rStyle w:val="cursor-pointer"/>
          <w:rFonts w:ascii="Geist Fallback" w:hAnsi="Geist Fallback"/>
          <w:sz w:val="23"/>
          <w:szCs w:val="23"/>
        </w:rPr>
        <w:t xml:space="preserve">been associated with numerous disorders ranging from local diseases like irritable bowel syndrome (IBS) affecting the gastrointestinal tract </w:t>
      </w:r>
      <w:r w:rsidR="00242451">
        <w:rPr>
          <w:rStyle w:val="cursor-pointer"/>
          <w:rFonts w:ascii="Geist Fallback" w:hAnsi="Geist Fallback"/>
          <w:sz w:val="23"/>
          <w:szCs w:val="23"/>
        </w:rPr>
        <w:t>[33,34]</w:t>
      </w:r>
      <w:r>
        <w:rPr>
          <w:rStyle w:val="cursor-pointer"/>
          <w:rFonts w:ascii="Geist Fallback" w:hAnsi="Geist Fallback"/>
          <w:sz w:val="23"/>
          <w:szCs w:val="23"/>
        </w:rPr>
        <w:t xml:space="preserve"> to more systemic diseases such as cardiovascular disease, obesity and even autoimmune disorders </w:t>
      </w:r>
      <w:r w:rsidR="001E2D01">
        <w:rPr>
          <w:rStyle w:val="cursor-pointer"/>
          <w:rFonts w:ascii="Geist Fallback" w:hAnsi="Geist Fallback"/>
          <w:sz w:val="23"/>
          <w:szCs w:val="23"/>
        </w:rPr>
        <w:t>[35]</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 xml:space="preserve">Because the gut micro-biome has a major interaction with host health, the dominant micro-biome background and activities of gut micro-biota should be better characterized in definition of its function in systemic and </w:t>
      </w:r>
      <w:r w:rsidRPr="00462109">
        <w:rPr>
          <w:rStyle w:val="cursor-pointer"/>
          <w:rFonts w:ascii="Geist Fallback" w:hAnsi="Geist Fallback"/>
          <w:sz w:val="23"/>
          <w:szCs w:val="23"/>
          <w:highlight w:val="yellow"/>
        </w:rPr>
        <w:t>ocular health.</w:t>
      </w:r>
    </w:p>
    <w:p w14:paraId="17180B76" w14:textId="77777777" w:rsidR="003D3D96" w:rsidRPr="003D3D96" w:rsidRDefault="003D3D96" w:rsidP="00DB363A">
      <w:pPr>
        <w:pStyle w:val="ListParagraph"/>
        <w:spacing w:after="160" w:line="276" w:lineRule="auto"/>
        <w:ind w:left="0"/>
        <w:contextualSpacing/>
        <w:rPr>
          <w:rFonts w:ascii="Times" w:hAnsi="Times"/>
        </w:rPr>
      </w:pPr>
    </w:p>
    <w:p w14:paraId="107C79EC" w14:textId="3DC7406C" w:rsidR="003D3D96" w:rsidRPr="00950663" w:rsidRDefault="003D3D96" w:rsidP="00DB363A">
      <w:pPr>
        <w:pStyle w:val="ListParagraph"/>
        <w:spacing w:after="160" w:line="276" w:lineRule="auto"/>
        <w:ind w:left="0"/>
        <w:contextualSpacing/>
        <w:rPr>
          <w:rFonts w:ascii="Times" w:hAnsi="Times"/>
          <w:b/>
          <w:color w:val="2E74B5" w:themeColor="accent5" w:themeShade="BF"/>
        </w:rPr>
      </w:pPr>
      <w:r>
        <w:rPr>
          <w:rFonts w:ascii="Times" w:hAnsi="Times"/>
        </w:rPr>
        <w:t xml:space="preserve">         </w:t>
      </w:r>
      <w:r w:rsidR="00950663">
        <w:rPr>
          <w:rFonts w:ascii="Times" w:hAnsi="Times"/>
        </w:rPr>
        <w:t xml:space="preserve"> </w:t>
      </w:r>
      <w:r w:rsidRPr="00950663">
        <w:rPr>
          <w:rFonts w:ascii="Times" w:hAnsi="Times"/>
          <w:b/>
          <w:color w:val="2E74B5" w:themeColor="accent5" w:themeShade="BF"/>
        </w:rPr>
        <w:t>3.</w:t>
      </w:r>
      <w:r w:rsidR="00C91225">
        <w:rPr>
          <w:rFonts w:ascii="Times" w:hAnsi="Times"/>
          <w:b/>
          <w:color w:val="2E74B5" w:themeColor="accent5" w:themeShade="BF"/>
        </w:rPr>
        <w:t>2</w:t>
      </w:r>
      <w:r w:rsidRPr="00950663">
        <w:rPr>
          <w:rFonts w:ascii="Times" w:hAnsi="Times"/>
          <w:b/>
          <w:color w:val="2E74B5" w:themeColor="accent5" w:themeShade="BF"/>
        </w:rPr>
        <w:t xml:space="preserve"> </w:t>
      </w:r>
      <w:r w:rsidR="005F59AB" w:rsidRPr="008025AD">
        <w:rPr>
          <w:b/>
          <w:bCs/>
          <w:color w:val="0070C0"/>
        </w:rPr>
        <w:t>Major Metabolites Produced by Gut Microbiota</w:t>
      </w:r>
    </w:p>
    <w:p w14:paraId="1C3A759C" w14:textId="061F366E" w:rsidR="00C91225" w:rsidRDefault="005F59AB" w:rsidP="00C91225">
      <w:pPr>
        <w:spacing w:line="240" w:lineRule="auto"/>
        <w:jc w:val="both"/>
        <w:rPr>
          <w:rFonts w:ascii="Times New Roman" w:hAnsi="Times New Roman" w:cs="Times New Roman"/>
          <w:i/>
          <w:iCs/>
        </w:rPr>
      </w:pPr>
      <w:r>
        <w:rPr>
          <w:rStyle w:val="cursor-pointer"/>
          <w:rFonts w:ascii="Geist Fallback" w:hAnsi="Geist Fallback"/>
          <w:sz w:val="23"/>
          <w:szCs w:val="23"/>
        </w:rPr>
        <w:t>Gut microbiota produces a tremendous range of metabolites that significantly affect both local as well as systemic health.</w:t>
      </w:r>
      <w:r>
        <w:rPr>
          <w:rFonts w:ascii="Geist Fallback" w:hAnsi="Geist Fallback"/>
          <w:sz w:val="23"/>
          <w:szCs w:val="23"/>
        </w:rPr>
        <w:t xml:space="preserve"> </w:t>
      </w:r>
      <w:r>
        <w:rPr>
          <w:rStyle w:val="cursor-pointer"/>
          <w:rFonts w:ascii="Geist Fallback" w:hAnsi="Geist Fallback"/>
          <w:sz w:val="23"/>
          <w:szCs w:val="23"/>
        </w:rPr>
        <w:t xml:space="preserve">These metabolites generally fall into several categories, including the SCFAs, BA, amino acids, and vitamins, and neurotransmitter </w:t>
      </w:r>
      <w:r w:rsidR="00C91EE9">
        <w:rPr>
          <w:rStyle w:val="cursor-pointer"/>
          <w:rFonts w:ascii="Geist Fallback" w:hAnsi="Geist Fallback"/>
          <w:sz w:val="23"/>
          <w:szCs w:val="23"/>
        </w:rPr>
        <w:t>[28]</w:t>
      </w:r>
      <w:r>
        <w:rPr>
          <w:rStyle w:val="cursor-pointer"/>
          <w:rFonts w:ascii="Geist Fallback" w:hAnsi="Geist Fallback"/>
          <w:sz w:val="23"/>
          <w:szCs w:val="23"/>
        </w:rPr>
        <w:t>.</w:t>
      </w:r>
      <w:r w:rsidR="00C91EE9">
        <w:rPr>
          <w:rStyle w:val="cursor-pointer"/>
          <w:rFonts w:ascii="Geist Fallback" w:hAnsi="Geist Fallback"/>
          <w:sz w:val="23"/>
          <w:szCs w:val="23"/>
        </w:rPr>
        <w:t xml:space="preserve"> </w:t>
      </w:r>
      <w:r>
        <w:rPr>
          <w:rStyle w:val="cursor-pointer"/>
          <w:rFonts w:ascii="Geist Fallback" w:hAnsi="Geist Fallback"/>
          <w:sz w:val="23"/>
          <w:szCs w:val="23"/>
        </w:rPr>
        <w:t>Of these, the most studied are SCFA and BAs due to their systemic effects such as regulation of inflammation, immunity and metabolism.</w:t>
      </w:r>
      <w:r>
        <w:rPr>
          <w:rFonts w:ascii="Geist Fallback" w:hAnsi="Geist Fallback"/>
          <w:sz w:val="23"/>
          <w:szCs w:val="23"/>
        </w:rPr>
        <w:t xml:space="preserve"> </w:t>
      </w:r>
      <w:r>
        <w:rPr>
          <w:rStyle w:val="cursor-pointer"/>
          <w:rFonts w:ascii="Geist Fallback" w:hAnsi="Geist Fallback"/>
          <w:sz w:val="23"/>
          <w:szCs w:val="23"/>
        </w:rPr>
        <w:t>Dietary fibers are broken down in the gut microbiome to generate short-chain fatty acids (SCFAs) including acetate, propionate and butyrate.</w:t>
      </w:r>
      <w:r>
        <w:rPr>
          <w:rFonts w:ascii="Geist Fallback" w:hAnsi="Geist Fallback"/>
          <w:sz w:val="23"/>
          <w:szCs w:val="23"/>
        </w:rPr>
        <w:t xml:space="preserve"> </w:t>
      </w:r>
      <w:r>
        <w:rPr>
          <w:rStyle w:val="cursor-pointer"/>
          <w:rFonts w:ascii="Geist Fallback" w:hAnsi="Geist Fallback"/>
          <w:sz w:val="23"/>
          <w:szCs w:val="23"/>
        </w:rPr>
        <w:t xml:space="preserve">Fatty acids are required for intestinal homeostasis </w:t>
      </w:r>
      <w:r w:rsidR="00C91EE9">
        <w:rPr>
          <w:rStyle w:val="cursor-pointer"/>
          <w:rFonts w:ascii="Geist Fallback" w:hAnsi="Geist Fallback"/>
          <w:sz w:val="23"/>
          <w:szCs w:val="23"/>
        </w:rPr>
        <w:t>[29]</w:t>
      </w:r>
      <w:r>
        <w:rPr>
          <w:rStyle w:val="cursor-pointer"/>
          <w:rFonts w:ascii="Geist Fallback" w:hAnsi="Geist Fallback"/>
          <w:sz w:val="23"/>
          <w:szCs w:val="23"/>
        </w:rPr>
        <w:t>.</w:t>
      </w:r>
      <w:r w:rsidR="00C91EE9">
        <w:rPr>
          <w:rStyle w:val="cursor-pointer"/>
          <w:rFonts w:ascii="Geist Fallback" w:hAnsi="Geist Fallback"/>
          <w:sz w:val="23"/>
          <w:szCs w:val="23"/>
        </w:rPr>
        <w:t xml:space="preserve"> </w:t>
      </w:r>
      <w:r>
        <w:rPr>
          <w:rStyle w:val="cursor-pointer"/>
          <w:rFonts w:ascii="Geist Fallback" w:hAnsi="Geist Fallback"/>
          <w:sz w:val="23"/>
          <w:szCs w:val="23"/>
        </w:rPr>
        <w:t xml:space="preserve">They supply </w:t>
      </w:r>
      <w:r>
        <w:rPr>
          <w:rStyle w:val="cursor-pointer"/>
          <w:rFonts w:ascii="Geist Fallback" w:hAnsi="Geist Fallback"/>
          <w:sz w:val="23"/>
          <w:szCs w:val="23"/>
        </w:rPr>
        <w:lastRenderedPageBreak/>
        <w:t>energy to colonocytes, keep the intestinal barrier and regulate immunological function.</w:t>
      </w:r>
      <w:r>
        <w:rPr>
          <w:rFonts w:ascii="Geist Fallback" w:hAnsi="Geist Fallback"/>
          <w:sz w:val="23"/>
          <w:szCs w:val="23"/>
        </w:rPr>
        <w:t xml:space="preserve"> </w:t>
      </w:r>
      <w:r>
        <w:rPr>
          <w:rStyle w:val="cursor-pointer"/>
          <w:rFonts w:ascii="Geist Fallback" w:hAnsi="Geist Fallback"/>
          <w:sz w:val="23"/>
          <w:szCs w:val="23"/>
        </w:rPr>
        <w:t>Liver-generated bile acids are altered by gut microbiotas.</w:t>
      </w:r>
      <w:r>
        <w:rPr>
          <w:rFonts w:ascii="Geist Fallback" w:hAnsi="Geist Fallback"/>
          <w:sz w:val="23"/>
          <w:szCs w:val="23"/>
        </w:rPr>
        <w:t xml:space="preserve"> </w:t>
      </w:r>
      <w:r>
        <w:rPr>
          <w:rStyle w:val="cursor-pointer"/>
          <w:rFonts w:ascii="Geist Fallback" w:hAnsi="Geist Fallback"/>
          <w:sz w:val="23"/>
          <w:szCs w:val="23"/>
        </w:rPr>
        <w:t>Changed bile acids are associated with lipid digestion and cholesterol control.</w:t>
      </w:r>
      <w:r>
        <w:rPr>
          <w:rFonts w:ascii="Geist Fallback" w:hAnsi="Geist Fallback"/>
          <w:sz w:val="23"/>
          <w:szCs w:val="23"/>
        </w:rPr>
        <w:t xml:space="preserve"> </w:t>
      </w:r>
      <w:r>
        <w:rPr>
          <w:rStyle w:val="cursor-pointer"/>
          <w:rFonts w:ascii="Geist Fallback" w:hAnsi="Geist Fallback"/>
          <w:sz w:val="23"/>
          <w:szCs w:val="23"/>
        </w:rPr>
        <w:t xml:space="preserve">These metabolites impact systemic inflammation, metabolic pathways and brain function </w:t>
      </w:r>
      <w:r w:rsidR="00C91EE9">
        <w:rPr>
          <w:rStyle w:val="cursor-pointer"/>
          <w:rFonts w:ascii="Geist Fallback" w:hAnsi="Geist Fallback"/>
          <w:sz w:val="23"/>
          <w:szCs w:val="23"/>
        </w:rPr>
        <w:t>[30]</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The microbiota-gut-brain axis regulates the ocular surface via metabolites produced by gut microbiota.</w:t>
      </w:r>
      <w:r>
        <w:rPr>
          <w:rFonts w:ascii="Geist Fallback" w:hAnsi="Geist Fallback"/>
          <w:sz w:val="23"/>
          <w:szCs w:val="23"/>
        </w:rPr>
        <w:t xml:space="preserve"> </w:t>
      </w:r>
      <w:r>
        <w:rPr>
          <w:rStyle w:val="cursor-pointer"/>
          <w:rFonts w:ascii="Geist Fallback" w:hAnsi="Geist Fallback"/>
          <w:sz w:val="23"/>
          <w:szCs w:val="23"/>
        </w:rPr>
        <w:t xml:space="preserve">This could therefore represent a connection between gastrointestinal disease and eye disease, including DED, at the level of regulating inflammatory response and immune regulation </w:t>
      </w:r>
      <w:r w:rsidRPr="00462109">
        <w:rPr>
          <w:rStyle w:val="cursor-pointer"/>
          <w:rFonts w:ascii="Geist Fallback" w:hAnsi="Geist Fallback"/>
          <w:sz w:val="23"/>
          <w:szCs w:val="23"/>
          <w:highlight w:val="yellow"/>
        </w:rPr>
        <w:t>pathways.</w:t>
      </w:r>
      <w:r w:rsidRPr="00A04BF7">
        <w:rPr>
          <w:rFonts w:ascii="Times New Roman" w:hAnsi="Times New Roman" w:cs="Times New Roman"/>
        </w:rPr>
        <w:br/>
      </w:r>
    </w:p>
    <w:p w14:paraId="37618434" w14:textId="10AB6F92" w:rsidR="005F59AB" w:rsidRPr="000E1D15" w:rsidRDefault="00C91225" w:rsidP="00C91225">
      <w:pPr>
        <w:spacing w:line="240" w:lineRule="auto"/>
        <w:jc w:val="both"/>
        <w:rPr>
          <w:rFonts w:ascii="Times New Roman" w:hAnsi="Times New Roman" w:cs="Times New Roman"/>
          <w:b/>
          <w:bCs/>
          <w:i/>
          <w:iCs/>
          <w:color w:val="0070C0"/>
        </w:rPr>
      </w:pPr>
      <w:r w:rsidRPr="000E1D15">
        <w:rPr>
          <w:rFonts w:ascii="Times New Roman" w:hAnsi="Times New Roman" w:cs="Times New Roman"/>
          <w:b/>
          <w:bCs/>
          <w:i/>
          <w:iCs/>
          <w:color w:val="0070C0"/>
        </w:rPr>
        <w:t xml:space="preserve">3.2.1 </w:t>
      </w:r>
      <w:r w:rsidR="005F59AB" w:rsidRPr="000E1D15">
        <w:rPr>
          <w:rFonts w:ascii="Times New Roman" w:hAnsi="Times New Roman" w:cs="Times New Roman"/>
          <w:b/>
          <w:bCs/>
          <w:i/>
          <w:iCs/>
          <w:color w:val="0070C0"/>
        </w:rPr>
        <w:t>Bile Acids</w:t>
      </w:r>
    </w:p>
    <w:p w14:paraId="33198D0B" w14:textId="31743826" w:rsidR="005F59AB" w:rsidRDefault="005F59AB" w:rsidP="00C91225">
      <w:pPr>
        <w:spacing w:line="240" w:lineRule="auto"/>
        <w:jc w:val="both"/>
        <w:rPr>
          <w:rFonts w:ascii="Geist Fallback" w:hAnsi="Geist Fallback"/>
          <w:sz w:val="23"/>
          <w:szCs w:val="23"/>
        </w:rPr>
      </w:pPr>
      <w:r>
        <w:rPr>
          <w:rStyle w:val="cursor-pointer"/>
          <w:rFonts w:ascii="Geist Fallback" w:hAnsi="Geist Fallback"/>
          <w:sz w:val="23"/>
          <w:szCs w:val="23"/>
        </w:rPr>
        <w:t>The metabolites made in the liver and altered by gut microbes are important – bile acids.</w:t>
      </w:r>
      <w:r>
        <w:rPr>
          <w:rFonts w:ascii="Geist Fallback" w:hAnsi="Geist Fallback"/>
          <w:sz w:val="23"/>
          <w:szCs w:val="23"/>
        </w:rPr>
        <w:t xml:space="preserve"> </w:t>
      </w:r>
      <w:r w:rsidR="00EE0141">
        <w:rPr>
          <w:rFonts w:ascii="Geist Fallback" w:hAnsi="Geist Fallback"/>
          <w:sz w:val="23"/>
          <w:szCs w:val="23"/>
        </w:rPr>
        <w:t>[31]</w:t>
      </w:r>
      <w:r>
        <w:rPr>
          <w:rFonts w:ascii="Geist Fallback" w:hAnsi="Geist Fallback"/>
          <w:sz w:val="23"/>
          <w:szCs w:val="23"/>
        </w:rPr>
        <w:t xml:space="preserve">. </w:t>
      </w:r>
      <w:r>
        <w:rPr>
          <w:rStyle w:val="cursor-pointer"/>
          <w:rFonts w:ascii="Geist Fallback" w:hAnsi="Geist Fallback"/>
          <w:sz w:val="23"/>
          <w:szCs w:val="23"/>
        </w:rPr>
        <w:t>They play a key role in digestion and absorption of lipids and fat-soluble vitamins.</w:t>
      </w:r>
      <w:r>
        <w:rPr>
          <w:rFonts w:ascii="Geist Fallback" w:hAnsi="Geist Fallback"/>
          <w:sz w:val="23"/>
          <w:szCs w:val="23"/>
        </w:rPr>
        <w:t xml:space="preserve"> </w:t>
      </w:r>
      <w:r>
        <w:rPr>
          <w:rStyle w:val="cursor-pointer"/>
          <w:rFonts w:ascii="Geist Fallback" w:hAnsi="Geist Fallback"/>
          <w:sz w:val="23"/>
          <w:szCs w:val="23"/>
        </w:rPr>
        <w:t>The functional diversity of gut microbiota is a key determinant of the modification of BA effects on metabolic health.</w:t>
      </w:r>
      <w:r>
        <w:rPr>
          <w:rFonts w:ascii="Geist Fallback" w:hAnsi="Geist Fallback"/>
          <w:sz w:val="23"/>
          <w:szCs w:val="23"/>
        </w:rPr>
        <w:t xml:space="preserve"> </w:t>
      </w:r>
      <w:r>
        <w:rPr>
          <w:rStyle w:val="cursor-pointer"/>
          <w:rFonts w:ascii="Geist Fallback" w:hAnsi="Geist Fallback"/>
          <w:sz w:val="23"/>
          <w:szCs w:val="23"/>
        </w:rPr>
        <w:t>BAs are able to interact with various receptors such as FXR and TGR5 and have a range of effects.</w:t>
      </w:r>
      <w:r>
        <w:rPr>
          <w:rFonts w:ascii="Geist Fallback" w:hAnsi="Geist Fallback"/>
          <w:sz w:val="23"/>
          <w:szCs w:val="23"/>
        </w:rPr>
        <w:t xml:space="preserve"> </w:t>
      </w:r>
      <w:r>
        <w:rPr>
          <w:rStyle w:val="cursor-pointer"/>
          <w:rFonts w:ascii="Geist Fallback" w:hAnsi="Geist Fallback"/>
          <w:sz w:val="23"/>
          <w:szCs w:val="23"/>
        </w:rPr>
        <w:t>Both FXR and TGR5 are known to modulate glucose and lipid metabolism and immune modulation, respectively.</w:t>
      </w:r>
      <w:r>
        <w:rPr>
          <w:rFonts w:ascii="Geist Fallback" w:hAnsi="Geist Fallback"/>
          <w:sz w:val="23"/>
          <w:szCs w:val="23"/>
        </w:rPr>
        <w:t xml:space="preserve"> </w:t>
      </w:r>
      <w:r w:rsidR="00016AE2">
        <w:rPr>
          <w:rFonts w:ascii="Geist Fallback" w:hAnsi="Geist Fallback"/>
          <w:sz w:val="23"/>
          <w:szCs w:val="23"/>
        </w:rPr>
        <w:t>[36]</w:t>
      </w:r>
      <w:r>
        <w:rPr>
          <w:rFonts w:ascii="Geist Fallback" w:hAnsi="Geist Fallback"/>
          <w:sz w:val="23"/>
          <w:szCs w:val="23"/>
        </w:rPr>
        <w:t>.</w:t>
      </w:r>
      <w:r w:rsidR="00855630">
        <w:rPr>
          <w:rFonts w:ascii="Geist Fallback" w:hAnsi="Geist Fallback"/>
          <w:sz w:val="23"/>
          <w:szCs w:val="23"/>
        </w:rPr>
        <w:t xml:space="preserve"> </w:t>
      </w:r>
      <w:r>
        <w:rPr>
          <w:rStyle w:val="cursor-pointer"/>
          <w:rFonts w:ascii="Geist Fallback" w:hAnsi="Geist Fallback"/>
          <w:sz w:val="23"/>
          <w:szCs w:val="23"/>
        </w:rPr>
        <w:t xml:space="preserve">The altered composition and function of gut microbiota </w:t>
      </w:r>
      <w:proofErr w:type="gramStart"/>
      <w:r>
        <w:rPr>
          <w:rStyle w:val="cursor-pointer"/>
          <w:rFonts w:ascii="Geist Fallback" w:hAnsi="Geist Fallback"/>
          <w:sz w:val="23"/>
          <w:szCs w:val="23"/>
        </w:rPr>
        <w:t>has</w:t>
      </w:r>
      <w:proofErr w:type="gramEnd"/>
      <w:r>
        <w:rPr>
          <w:rStyle w:val="cursor-pointer"/>
          <w:rFonts w:ascii="Geist Fallback" w:hAnsi="Geist Fallback"/>
          <w:sz w:val="23"/>
          <w:szCs w:val="23"/>
        </w:rPr>
        <w:t xml:space="preserve"> been recently associated with several diseases including metabolic syndrome, obesity and IBD.</w:t>
      </w:r>
      <w:r>
        <w:rPr>
          <w:rFonts w:ascii="Geist Fallback" w:hAnsi="Geist Fallback"/>
          <w:sz w:val="23"/>
          <w:szCs w:val="23"/>
        </w:rPr>
        <w:t xml:space="preserve"> </w:t>
      </w:r>
      <w:r>
        <w:rPr>
          <w:rStyle w:val="cursor-pointer"/>
          <w:rFonts w:ascii="Geist Fallback" w:hAnsi="Geist Fallback"/>
          <w:sz w:val="23"/>
          <w:szCs w:val="23"/>
        </w:rPr>
        <w:t>Of significant note is that there is also some evidence showing that bile acids could be potentially protective of the ocular tissues by modulation of systemic inflammation and immune functions, which both have significant roles in the pathogenesis of ocular surface diseases like DED.</w:t>
      </w:r>
      <w:r>
        <w:rPr>
          <w:rFonts w:ascii="Geist Fallback" w:hAnsi="Geist Fallback"/>
          <w:sz w:val="23"/>
          <w:szCs w:val="23"/>
        </w:rPr>
        <w:t xml:space="preserve"> </w:t>
      </w:r>
      <w:r>
        <w:rPr>
          <w:rStyle w:val="cursor-pointer"/>
          <w:rFonts w:ascii="Geist Fallback" w:hAnsi="Geist Fallback"/>
          <w:sz w:val="23"/>
          <w:szCs w:val="23"/>
        </w:rPr>
        <w:t xml:space="preserve">Researchers suggest that bile acid signaling pathway may modify the inflammatory environments at the distant sites, such as in the eyes </w:t>
      </w:r>
      <w:r w:rsidR="002065C4">
        <w:rPr>
          <w:rStyle w:val="cursor-pointer"/>
          <w:rFonts w:ascii="Geist Fallback" w:hAnsi="Geist Fallback"/>
          <w:sz w:val="23"/>
          <w:szCs w:val="23"/>
        </w:rPr>
        <w:t>[37]</w:t>
      </w:r>
      <w:r>
        <w:rPr>
          <w:rStyle w:val="cursor-pointer"/>
          <w:rFonts w:ascii="Geist Fallback" w:hAnsi="Geist Fallback"/>
          <w:sz w:val="23"/>
          <w:szCs w:val="23"/>
        </w:rPr>
        <w:t>.</w:t>
      </w:r>
      <w:r w:rsidR="001C1EC2">
        <w:rPr>
          <w:rStyle w:val="cursor-pointer"/>
          <w:rFonts w:ascii="Geist Fallback" w:hAnsi="Geist Fallback"/>
          <w:sz w:val="23"/>
          <w:szCs w:val="23"/>
        </w:rPr>
        <w:t xml:space="preserve"> </w:t>
      </w:r>
      <w:r>
        <w:rPr>
          <w:rStyle w:val="cursor-pointer"/>
          <w:rFonts w:ascii="Geist Fallback" w:hAnsi="Geist Fallback"/>
          <w:sz w:val="23"/>
          <w:szCs w:val="23"/>
        </w:rPr>
        <w:t>Additionally, FXR is activated by BA, and it has been shown that FXR regulates the production of pro-inflammatory cytokines and T-cell responses, which are involved in the pathogenesis of DED.</w:t>
      </w:r>
      <w:r>
        <w:rPr>
          <w:rFonts w:ascii="Geist Fallback" w:hAnsi="Geist Fallback"/>
          <w:sz w:val="23"/>
          <w:szCs w:val="23"/>
        </w:rPr>
        <w:t xml:space="preserve"> </w:t>
      </w:r>
      <w:r>
        <w:rPr>
          <w:rStyle w:val="cursor-pointer"/>
          <w:rFonts w:ascii="Geist Fallback" w:hAnsi="Geist Fallback"/>
          <w:sz w:val="23"/>
          <w:szCs w:val="23"/>
        </w:rPr>
        <w:t>Thus, in systemic inflammation, which may be due to dysbiosis, disruption of bile acid metabolism may play a role in aggravated ocular surface diseases.</w:t>
      </w:r>
      <w:r>
        <w:rPr>
          <w:rFonts w:ascii="Geist Fallback" w:hAnsi="Geist Fallback"/>
          <w:sz w:val="23"/>
          <w:szCs w:val="23"/>
        </w:rPr>
        <w:t xml:space="preserve"> </w:t>
      </w:r>
      <w:r w:rsidR="00774326">
        <w:rPr>
          <w:rFonts w:ascii="Geist Fallback" w:hAnsi="Geist Fallback"/>
          <w:sz w:val="23"/>
          <w:szCs w:val="23"/>
        </w:rPr>
        <w:t>[38]</w:t>
      </w:r>
      <w:r w:rsidRPr="00653ED5">
        <w:rPr>
          <w:rFonts w:ascii="Geist Fallback" w:hAnsi="Geist Fallback"/>
          <w:sz w:val="23"/>
          <w:szCs w:val="23"/>
        </w:rPr>
        <w:t>.</w:t>
      </w:r>
    </w:p>
    <w:p w14:paraId="167E3F2A" w14:textId="104F9C38" w:rsidR="000E1D15" w:rsidRPr="00923DD9" w:rsidRDefault="00923DD9" w:rsidP="000E1D15">
      <w:pPr>
        <w:spacing w:line="240" w:lineRule="auto"/>
        <w:jc w:val="both"/>
        <w:rPr>
          <w:rFonts w:ascii="Times New Roman" w:hAnsi="Times New Roman" w:cs="Times New Roman"/>
          <w:b/>
          <w:bCs/>
          <w:color w:val="0070C0"/>
        </w:rPr>
      </w:pPr>
      <w:r w:rsidRPr="00923DD9">
        <w:rPr>
          <w:rFonts w:ascii="Times New Roman" w:hAnsi="Times New Roman" w:cs="Times New Roman"/>
          <w:b/>
          <w:bCs/>
          <w:i/>
          <w:iCs/>
          <w:color w:val="0070C0"/>
        </w:rPr>
        <w:t xml:space="preserve">3.2.2 </w:t>
      </w:r>
      <w:r w:rsidR="000E1D15" w:rsidRPr="00923DD9">
        <w:rPr>
          <w:rFonts w:ascii="Times New Roman" w:hAnsi="Times New Roman" w:cs="Times New Roman"/>
          <w:b/>
          <w:bCs/>
          <w:i/>
          <w:iCs/>
          <w:color w:val="0070C0"/>
        </w:rPr>
        <w:t>Short-Chain Fatty Acids (SCFAs)</w:t>
      </w:r>
    </w:p>
    <w:p w14:paraId="0449F90A" w14:textId="5FC80188" w:rsidR="000E1D15" w:rsidRDefault="000E1D15" w:rsidP="000E1D15">
      <w:pPr>
        <w:spacing w:line="240" w:lineRule="auto"/>
        <w:jc w:val="both"/>
        <w:rPr>
          <w:rStyle w:val="cursor-pointer"/>
          <w:rFonts w:ascii="Geist Fallback" w:hAnsi="Geist Fallback"/>
          <w:sz w:val="23"/>
          <w:szCs w:val="23"/>
        </w:rPr>
      </w:pPr>
      <w:r>
        <w:rPr>
          <w:rStyle w:val="cursor-pointer"/>
          <w:rFonts w:ascii="Geist Fallback" w:hAnsi="Geist Fallback"/>
          <w:sz w:val="23"/>
          <w:szCs w:val="23"/>
        </w:rPr>
        <w:t>The primary products of bacterial fermentation of dietary fibers are SCFAs.</w:t>
      </w:r>
      <w:r>
        <w:rPr>
          <w:rFonts w:ascii="Geist Fallback" w:hAnsi="Geist Fallback"/>
          <w:sz w:val="23"/>
          <w:szCs w:val="23"/>
        </w:rPr>
        <w:t xml:space="preserve"> </w:t>
      </w:r>
      <w:r>
        <w:rPr>
          <w:rStyle w:val="cursor-pointer"/>
          <w:rFonts w:ascii="Geist Fallback" w:hAnsi="Geist Fallback"/>
          <w:sz w:val="23"/>
          <w:szCs w:val="23"/>
        </w:rPr>
        <w:t>Butyrate is the most important SCFA as it has anti-inflammatory properties and protects the integrity of the gut epithelial barrier.</w:t>
      </w:r>
      <w:r>
        <w:rPr>
          <w:rFonts w:ascii="Geist Fallback" w:hAnsi="Geist Fallback"/>
          <w:sz w:val="23"/>
          <w:szCs w:val="23"/>
        </w:rPr>
        <w:t xml:space="preserve"> </w:t>
      </w:r>
      <w:r>
        <w:rPr>
          <w:rStyle w:val="cursor-pointer"/>
          <w:rFonts w:ascii="Geist Fallback" w:hAnsi="Geist Fallback"/>
          <w:sz w:val="23"/>
          <w:szCs w:val="23"/>
        </w:rPr>
        <w:t>It is produced by the Firmicutes and Bacteroidetes species in the colon as the main energy source for the colonocytes.</w:t>
      </w:r>
      <w:r>
        <w:rPr>
          <w:rFonts w:ascii="Geist Fallback" w:hAnsi="Geist Fallback"/>
          <w:sz w:val="23"/>
          <w:szCs w:val="23"/>
        </w:rPr>
        <w:t xml:space="preserve"> </w:t>
      </w:r>
      <w:r w:rsidR="00ED0493">
        <w:rPr>
          <w:rFonts w:ascii="Geist Fallback" w:hAnsi="Geist Fallback"/>
          <w:sz w:val="23"/>
          <w:szCs w:val="23"/>
        </w:rPr>
        <w:t>[39]</w:t>
      </w:r>
      <w:r>
        <w:rPr>
          <w:rFonts w:ascii="Geist Fallback" w:hAnsi="Geist Fallback"/>
          <w:sz w:val="23"/>
          <w:szCs w:val="23"/>
        </w:rPr>
        <w:t xml:space="preserve">. </w:t>
      </w:r>
      <w:r>
        <w:rPr>
          <w:rStyle w:val="cursor-pointer"/>
          <w:rFonts w:ascii="Geist Fallback" w:hAnsi="Geist Fallback"/>
          <w:sz w:val="23"/>
          <w:szCs w:val="23"/>
        </w:rPr>
        <w:t xml:space="preserve">It's been demonstrated to enhance tight junction integrity, sustaining the intestinal barrier and stopping gut </w:t>
      </w:r>
      <w:r>
        <w:rPr>
          <w:rStyle w:val="cursor-pointer"/>
          <w:rFonts w:ascii="Geist Fallback" w:hAnsi="Geist Fallback"/>
          <w:sz w:val="23"/>
          <w:szCs w:val="23"/>
        </w:rPr>
        <w:t>permeability (Figure 2).</w:t>
      </w:r>
      <w:r>
        <w:rPr>
          <w:rFonts w:ascii="Geist Fallback" w:hAnsi="Geist Fallback"/>
          <w:sz w:val="23"/>
          <w:szCs w:val="23"/>
        </w:rPr>
        <w:t xml:space="preserve"> </w:t>
      </w:r>
      <w:r>
        <w:rPr>
          <w:rStyle w:val="cursor-pointer"/>
          <w:rFonts w:ascii="Geist Fallback" w:hAnsi="Geist Fallback"/>
          <w:sz w:val="23"/>
          <w:szCs w:val="23"/>
        </w:rPr>
        <w:t>In addition to its local action in the gut, butyrate has systemic effects which may affect other organs such as the eyes.</w:t>
      </w:r>
      <w:r>
        <w:rPr>
          <w:rFonts w:ascii="Geist Fallback" w:hAnsi="Geist Fallback"/>
          <w:sz w:val="23"/>
          <w:szCs w:val="23"/>
        </w:rPr>
        <w:t xml:space="preserve"> </w:t>
      </w:r>
      <w:r>
        <w:rPr>
          <w:rStyle w:val="cursor-pointer"/>
          <w:rFonts w:ascii="Geist Fallback" w:hAnsi="Geist Fallback"/>
          <w:sz w:val="23"/>
          <w:szCs w:val="23"/>
        </w:rPr>
        <w:t>Butyrate is thought to exert anti-inflammatory activity, in part by its ability to modulate the activity of immune cells, such as regulatory T-cells and macrophages, as well as by inhibiting the production of cytokines that are pro-inflammatory.</w:t>
      </w:r>
      <w:r>
        <w:rPr>
          <w:rFonts w:ascii="Geist Fallback" w:hAnsi="Geist Fallback"/>
          <w:sz w:val="23"/>
          <w:szCs w:val="23"/>
        </w:rPr>
        <w:t xml:space="preserve"> </w:t>
      </w:r>
      <w:r>
        <w:rPr>
          <w:rStyle w:val="cursor-pointer"/>
          <w:rFonts w:ascii="Geist Fallback" w:hAnsi="Geist Fallback"/>
          <w:sz w:val="23"/>
          <w:szCs w:val="23"/>
        </w:rPr>
        <w:t xml:space="preserve">This is done by interacting with GPR43 and GPR109A </w:t>
      </w:r>
      <w:r w:rsidR="00CA54B0">
        <w:rPr>
          <w:rStyle w:val="cursor-pointer"/>
          <w:rFonts w:ascii="Geist Fallback" w:hAnsi="Geist Fallback"/>
          <w:sz w:val="23"/>
          <w:szCs w:val="23"/>
        </w:rPr>
        <w:t>[40]</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Because DED is inflammatory, butyrate's modulation of ocular surface inflammation potential is important.</w:t>
      </w:r>
      <w:r>
        <w:rPr>
          <w:rFonts w:ascii="Geist Fallback" w:hAnsi="Geist Fallback"/>
          <w:sz w:val="23"/>
          <w:szCs w:val="23"/>
        </w:rPr>
        <w:t xml:space="preserve"> </w:t>
      </w:r>
      <w:r>
        <w:rPr>
          <w:rStyle w:val="cursor-pointer"/>
          <w:rFonts w:ascii="Geist Fallback" w:hAnsi="Geist Fallback"/>
          <w:sz w:val="23"/>
          <w:szCs w:val="23"/>
        </w:rPr>
        <w:t>Butyrate and other SCFAs have been shown to promote Treg activity and Tregs play an essential role in immunological tolerance and inflammation control.</w:t>
      </w:r>
      <w:r>
        <w:rPr>
          <w:rFonts w:ascii="Geist Fallback" w:hAnsi="Geist Fallback"/>
          <w:sz w:val="23"/>
          <w:szCs w:val="23"/>
        </w:rPr>
        <w:t xml:space="preserve"> </w:t>
      </w:r>
      <w:r>
        <w:rPr>
          <w:rStyle w:val="cursor-pointer"/>
          <w:rFonts w:ascii="Geist Fallback" w:hAnsi="Geist Fallback"/>
          <w:sz w:val="23"/>
          <w:szCs w:val="23"/>
        </w:rPr>
        <w:t xml:space="preserve">They also proposed that it could be relevant for autoimmune diseases like DED where immunological dysregulation is the key component of the disease </w:t>
      </w:r>
      <w:r w:rsidR="00EC3E8C">
        <w:rPr>
          <w:rStyle w:val="cursor-pointer"/>
          <w:rFonts w:ascii="Geist Fallback" w:hAnsi="Geist Fallback"/>
          <w:sz w:val="23"/>
          <w:szCs w:val="23"/>
        </w:rPr>
        <w:t>[41]</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It is a fact that it impacts the gut microbiota – central nervous system communication pathway; it is now known to impact on the gut-brain axis.</w:t>
      </w:r>
    </w:p>
    <w:p w14:paraId="7005F872" w14:textId="6DB981AF" w:rsidR="006855A9" w:rsidRPr="008025AD" w:rsidRDefault="006855A9" w:rsidP="006855A9">
      <w:pPr>
        <w:spacing w:line="240" w:lineRule="auto"/>
        <w:jc w:val="both"/>
        <w:rPr>
          <w:rFonts w:ascii="Times New Roman" w:hAnsi="Times New Roman" w:cs="Times New Roman"/>
          <w:b/>
          <w:bCs/>
          <w:color w:val="0070C0"/>
        </w:rPr>
      </w:pPr>
      <w:r w:rsidRPr="008025AD">
        <w:rPr>
          <w:rFonts w:ascii="Times New Roman" w:hAnsi="Times New Roman" w:cs="Times New Roman"/>
          <w:b/>
          <w:bCs/>
          <w:color w:val="0070C0"/>
        </w:rPr>
        <w:t>3.3 Implications of the Gut Microbiome on Systemic and Ocular Health</w:t>
      </w:r>
    </w:p>
    <w:p w14:paraId="3019291F" w14:textId="624D0B8C" w:rsidR="006855A9" w:rsidRPr="00A04BF7" w:rsidRDefault="006855A9" w:rsidP="006855A9">
      <w:pPr>
        <w:spacing w:line="240" w:lineRule="auto"/>
        <w:jc w:val="both"/>
        <w:rPr>
          <w:rFonts w:ascii="Times New Roman" w:hAnsi="Times New Roman" w:cs="Times New Roman"/>
        </w:rPr>
      </w:pPr>
      <w:r>
        <w:rPr>
          <w:rStyle w:val="cursor-pointer"/>
          <w:rFonts w:ascii="Geist Fallback" w:hAnsi="Geist Fallback"/>
          <w:sz w:val="23"/>
          <w:szCs w:val="23"/>
        </w:rPr>
        <w:t xml:space="preserve">Systemic inflammation due to dysbiosis has been hypothesized as a possible contributing cause in ocular surface diseases </w:t>
      </w:r>
      <w:r w:rsidR="00F44858">
        <w:rPr>
          <w:rStyle w:val="cursor-pointer"/>
          <w:rFonts w:ascii="Geist Fallback" w:hAnsi="Geist Fallback"/>
          <w:sz w:val="23"/>
          <w:szCs w:val="23"/>
        </w:rPr>
        <w:t>[42]</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DED often leads to inflammation of the ocular surface as a result of a disruption of pro-inflammatory/anti-inflammatory signals which results in loss of epithelial integrity in the cornea and conjunctiva.</w:t>
      </w:r>
      <w:r>
        <w:rPr>
          <w:rFonts w:ascii="Geist Fallback" w:hAnsi="Geist Fallback"/>
          <w:sz w:val="23"/>
          <w:szCs w:val="23"/>
        </w:rPr>
        <w:t xml:space="preserve"> </w:t>
      </w:r>
      <w:r>
        <w:rPr>
          <w:rStyle w:val="cursor-pointer"/>
          <w:rFonts w:ascii="Geist Fallback" w:hAnsi="Geist Fallback"/>
          <w:sz w:val="23"/>
          <w:szCs w:val="23"/>
        </w:rPr>
        <w:t>Too much pro-inflammatory cytokines can then travel to the ocular surface through the systemic circulation, which may be increased by gut microbiome dysbiosis, aggravating this imbalance of inflammation.</w:t>
      </w:r>
      <w:r>
        <w:rPr>
          <w:rFonts w:ascii="Geist Fallback" w:hAnsi="Geist Fallback"/>
          <w:sz w:val="23"/>
          <w:szCs w:val="23"/>
        </w:rPr>
        <w:t xml:space="preserve"> </w:t>
      </w:r>
      <w:r>
        <w:rPr>
          <w:rStyle w:val="cursor-pointer"/>
          <w:rFonts w:ascii="Geist Fallback" w:hAnsi="Geist Fallback"/>
          <w:sz w:val="23"/>
          <w:szCs w:val="23"/>
        </w:rPr>
        <w:t>Hence the metabolites produced in the gut, such as SCFAs and bile acids, and the interactions thereof with immune cells would be important in controlling the severity of the inflammation of the ocular surface.</w:t>
      </w:r>
      <w:r>
        <w:rPr>
          <w:rFonts w:ascii="Geist Fallback" w:hAnsi="Geist Fallback"/>
          <w:sz w:val="23"/>
          <w:szCs w:val="23"/>
        </w:rPr>
        <w:t xml:space="preserve"> </w:t>
      </w:r>
      <w:r w:rsidR="008756BB">
        <w:rPr>
          <w:rFonts w:ascii="Geist Fallback" w:hAnsi="Geist Fallback"/>
          <w:sz w:val="23"/>
          <w:szCs w:val="23"/>
        </w:rPr>
        <w:t>[43,44]</w:t>
      </w:r>
      <w:r>
        <w:rPr>
          <w:rFonts w:ascii="Geist Fallback" w:hAnsi="Geist Fallback"/>
          <w:sz w:val="23"/>
          <w:szCs w:val="23"/>
        </w:rPr>
        <w:t xml:space="preserve">. </w:t>
      </w:r>
      <w:r>
        <w:rPr>
          <w:rStyle w:val="cursor-pointer"/>
          <w:rFonts w:ascii="Geist Fallback" w:hAnsi="Geist Fallback"/>
          <w:sz w:val="23"/>
          <w:szCs w:val="23"/>
        </w:rPr>
        <w:t>Besides the direct influence of immunological regulation gut microbiome may also indirectly regulate the ocular homeostasis by way of other systemic disorders related to DED.</w:t>
      </w:r>
      <w:r>
        <w:rPr>
          <w:rFonts w:ascii="Geist Fallback" w:hAnsi="Geist Fallback"/>
          <w:sz w:val="23"/>
          <w:szCs w:val="23"/>
        </w:rPr>
        <w:t xml:space="preserve"> </w:t>
      </w:r>
      <w:r>
        <w:rPr>
          <w:rStyle w:val="cursor-pointer"/>
          <w:rFonts w:ascii="Geist Fallback" w:hAnsi="Geist Fallback"/>
          <w:sz w:val="23"/>
          <w:szCs w:val="23"/>
        </w:rPr>
        <w:t>Dysbiosis, a metabolic disorder of diabetes, is related to DED.</w:t>
      </w:r>
      <w:r>
        <w:rPr>
          <w:rFonts w:ascii="Geist Fallback" w:hAnsi="Geist Fallback"/>
          <w:sz w:val="23"/>
          <w:szCs w:val="23"/>
        </w:rPr>
        <w:t xml:space="preserve"> </w:t>
      </w:r>
      <w:r>
        <w:rPr>
          <w:rStyle w:val="cursor-pointer"/>
          <w:rFonts w:ascii="Geist Fallback" w:hAnsi="Geist Fallback"/>
          <w:sz w:val="23"/>
          <w:szCs w:val="23"/>
        </w:rPr>
        <w:t xml:space="preserve">Changes in the gut microbiota, which regulates glucose metabolism and insulin sensitivity, might worsen diabetic complications including dry eye syndrome </w:t>
      </w:r>
      <w:r w:rsidR="00082374">
        <w:rPr>
          <w:rStyle w:val="cursor-pointer"/>
          <w:rFonts w:ascii="Geist Fallback" w:hAnsi="Geist Fallback"/>
          <w:sz w:val="23"/>
          <w:szCs w:val="23"/>
        </w:rPr>
        <w:t>[45]</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DED is also common in inflammatory illnesses such rheumatoid arthritis and dysbiosis-causing Sjögren's syndrome.</w:t>
      </w:r>
    </w:p>
    <w:p w14:paraId="79F231A8" w14:textId="77777777" w:rsidR="00662098" w:rsidRPr="008025AD" w:rsidRDefault="003D3D96" w:rsidP="00662098">
      <w:pPr>
        <w:spacing w:line="240" w:lineRule="auto"/>
        <w:jc w:val="both"/>
        <w:rPr>
          <w:rFonts w:ascii="Times New Roman" w:hAnsi="Times New Roman" w:cs="Times New Roman"/>
          <w:b/>
          <w:bCs/>
          <w:color w:val="0070C0"/>
        </w:rPr>
      </w:pPr>
      <w:r w:rsidRPr="008025AD">
        <w:rPr>
          <w:rFonts w:ascii="Times" w:hAnsi="Times"/>
          <w:b/>
          <w:color w:val="0070C0"/>
        </w:rPr>
        <w:t>4.</w:t>
      </w:r>
      <w:r w:rsidR="00950663" w:rsidRPr="008025AD">
        <w:rPr>
          <w:rFonts w:ascii="Times" w:hAnsi="Times"/>
          <w:b/>
          <w:color w:val="0070C0"/>
        </w:rPr>
        <w:t xml:space="preserve"> </w:t>
      </w:r>
      <w:r w:rsidR="00662098" w:rsidRPr="008025AD">
        <w:rPr>
          <w:rFonts w:ascii="Times New Roman" w:hAnsi="Times New Roman" w:cs="Times New Roman"/>
          <w:b/>
          <w:bCs/>
          <w:color w:val="0070C0"/>
        </w:rPr>
        <w:t>EYE MICROBIOME</w:t>
      </w:r>
    </w:p>
    <w:p w14:paraId="3C5E3C80" w14:textId="2F482AA6" w:rsidR="003D3D96" w:rsidRPr="008025AD" w:rsidRDefault="00662098" w:rsidP="00662098">
      <w:pPr>
        <w:spacing w:line="240" w:lineRule="auto"/>
        <w:jc w:val="both"/>
        <w:rPr>
          <w:rFonts w:ascii="Times New Roman" w:hAnsi="Times New Roman" w:cs="Times New Roman"/>
          <w:b/>
          <w:bCs/>
          <w:color w:val="0070C0"/>
        </w:rPr>
      </w:pPr>
      <w:r w:rsidRPr="008025AD">
        <w:rPr>
          <w:rFonts w:ascii="Times New Roman" w:hAnsi="Times New Roman" w:cs="Times New Roman"/>
          <w:b/>
          <w:bCs/>
          <w:color w:val="0070C0"/>
        </w:rPr>
        <w:t>4.1 Composition and role of the ocular microbiome</w:t>
      </w:r>
    </w:p>
    <w:p w14:paraId="4F0C1894" w14:textId="2F60DBDA" w:rsidR="003D3D96" w:rsidRDefault="00B930CE" w:rsidP="00870551">
      <w:pPr>
        <w:spacing w:line="240" w:lineRule="auto"/>
        <w:jc w:val="both"/>
        <w:rPr>
          <w:rFonts w:ascii="Geist Fallback" w:hAnsi="Geist Fallback"/>
          <w:sz w:val="23"/>
          <w:szCs w:val="23"/>
        </w:rPr>
      </w:pPr>
      <w:r>
        <w:rPr>
          <w:rStyle w:val="cursor-pointer"/>
          <w:rFonts w:ascii="Geist Fallback" w:hAnsi="Geist Fallback"/>
          <w:sz w:val="23"/>
          <w:szCs w:val="23"/>
        </w:rPr>
        <w:t xml:space="preserve">An ocular microbiome is defined as a group of microorganisms found within the ocular surface or in other words on a conjunctiva, cornea, eyelids and the </w:t>
      </w:r>
      <w:r>
        <w:rPr>
          <w:rStyle w:val="cursor-pointer"/>
          <w:rFonts w:ascii="Geist Fallback" w:hAnsi="Geist Fallback"/>
          <w:sz w:val="23"/>
          <w:szCs w:val="23"/>
        </w:rPr>
        <w:lastRenderedPageBreak/>
        <w:t xml:space="preserve">tear film </w:t>
      </w:r>
      <w:r w:rsidR="00CE0287">
        <w:rPr>
          <w:rStyle w:val="cursor-pointer"/>
          <w:rFonts w:ascii="Geist Fallback" w:hAnsi="Geist Fallback"/>
          <w:sz w:val="23"/>
          <w:szCs w:val="23"/>
        </w:rPr>
        <w:t>[46].</w:t>
      </w:r>
      <w:r>
        <w:rPr>
          <w:rStyle w:val="cursor-pointer"/>
          <w:rFonts w:ascii="Geist Fallback" w:hAnsi="Geist Fallback"/>
          <w:sz w:val="23"/>
          <w:szCs w:val="23"/>
        </w:rPr>
        <w:t xml:space="preserve"> Traditionally, it has been supposed that the ocular environment is sterile because ocular surface's immune defense mechanisms preclude microbial colonization.</w:t>
      </w:r>
      <w:r>
        <w:rPr>
          <w:rFonts w:ascii="Geist Fallback" w:hAnsi="Geist Fallback"/>
          <w:sz w:val="23"/>
          <w:szCs w:val="23"/>
        </w:rPr>
        <w:t xml:space="preserve"> </w:t>
      </w:r>
      <w:r>
        <w:rPr>
          <w:rStyle w:val="cursor-pointer"/>
          <w:rFonts w:ascii="Geist Fallback" w:hAnsi="Geist Fallback"/>
          <w:sz w:val="23"/>
          <w:szCs w:val="23"/>
        </w:rPr>
        <w:t>The discovery of rich and diverse microbial communities of the ocular surface by recent developments in microbiological and molecular techniques such as high-throughput 16S rRNA sequencing, however, have suggested that the ocular surface may not be as sterile as previously believed.</w:t>
      </w:r>
      <w:r>
        <w:rPr>
          <w:rFonts w:ascii="Geist Fallback" w:hAnsi="Geist Fallback"/>
          <w:sz w:val="23"/>
          <w:szCs w:val="23"/>
        </w:rPr>
        <w:t xml:space="preserve"> </w:t>
      </w:r>
      <w:r w:rsidR="001A6EEF">
        <w:rPr>
          <w:rFonts w:ascii="Geist Fallback" w:hAnsi="Geist Fallback"/>
          <w:sz w:val="23"/>
          <w:szCs w:val="23"/>
        </w:rPr>
        <w:t>[47]</w:t>
      </w:r>
      <w:r w:rsidR="000636FC">
        <w:rP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Ocular microbiome is predominantly bacteria with small numbers of fungi and viruses, and even smaller numbers of archaea.</w:t>
      </w:r>
      <w:r>
        <w:rPr>
          <w:rFonts w:ascii="Geist Fallback" w:hAnsi="Geist Fallback"/>
          <w:sz w:val="23"/>
          <w:szCs w:val="23"/>
        </w:rPr>
        <w:t xml:space="preserve"> </w:t>
      </w:r>
      <w:r>
        <w:rPr>
          <w:rStyle w:val="cursor-pointer"/>
          <w:rFonts w:ascii="Geist Fallback" w:hAnsi="Geist Fallback"/>
          <w:sz w:val="23"/>
          <w:szCs w:val="23"/>
        </w:rPr>
        <w:t xml:space="preserve">There </w:t>
      </w:r>
      <w:proofErr w:type="gramStart"/>
      <w:r>
        <w:rPr>
          <w:rStyle w:val="cursor-pointer"/>
          <w:rFonts w:ascii="Geist Fallback" w:hAnsi="Geist Fallback"/>
          <w:sz w:val="23"/>
          <w:szCs w:val="23"/>
        </w:rPr>
        <w:t>are</w:t>
      </w:r>
      <w:proofErr w:type="gramEnd"/>
      <w:r>
        <w:rPr>
          <w:rStyle w:val="cursor-pointer"/>
          <w:rFonts w:ascii="Geist Fallback" w:hAnsi="Geist Fallback"/>
          <w:sz w:val="23"/>
          <w:szCs w:val="23"/>
        </w:rPr>
        <w:t xml:space="preserve"> also age, gender, genetic, geographical, dietary and environmental influences that impact the ocular microbiome and render it different for everyone.</w:t>
      </w:r>
      <w:r>
        <w:rPr>
          <w:rFonts w:ascii="Geist Fallback" w:hAnsi="Geist Fallback"/>
          <w:sz w:val="23"/>
          <w:szCs w:val="23"/>
        </w:rPr>
        <w:t xml:space="preserve"> </w:t>
      </w:r>
      <w:r>
        <w:rPr>
          <w:rStyle w:val="cursor-pointer"/>
          <w:rFonts w:ascii="Geist Fallback" w:hAnsi="Geist Fallback"/>
          <w:sz w:val="23"/>
          <w:szCs w:val="23"/>
        </w:rPr>
        <w:t>Firmicutes, Actinobacteria and Proteobacteria are the dominant bacterial phylum present in the ocular surface, with the former phylum containing the genera of Staphylococcus, Corynebacterium and Propionibacterium species.</w:t>
      </w:r>
      <w:r>
        <w:rPr>
          <w:rFonts w:ascii="Geist Fallback" w:hAnsi="Geist Fallback"/>
          <w:sz w:val="23"/>
          <w:szCs w:val="23"/>
        </w:rPr>
        <w:t xml:space="preserve"> </w:t>
      </w:r>
      <w:r w:rsidR="00085575">
        <w:rPr>
          <w:rFonts w:ascii="Geist Fallback" w:hAnsi="Geist Fallback"/>
          <w:sz w:val="23"/>
          <w:szCs w:val="23"/>
        </w:rPr>
        <w:t>[48]</w:t>
      </w:r>
      <w:r>
        <w:rPr>
          <w:rFonts w:ascii="Geist Fallback" w:hAnsi="Geist Fallback"/>
          <w:sz w:val="23"/>
          <w:szCs w:val="23"/>
        </w:rPr>
        <w:t>.</w:t>
      </w:r>
      <w:r w:rsidR="008B0A34">
        <w:rPr>
          <w:rFonts w:ascii="Geist Fallback" w:hAnsi="Geist Fallback"/>
          <w:sz w:val="23"/>
          <w:szCs w:val="23"/>
        </w:rPr>
        <w:t xml:space="preserve"> </w:t>
      </w:r>
      <w:r>
        <w:rPr>
          <w:rStyle w:val="cursor-pointer"/>
          <w:rFonts w:ascii="Geist Fallback" w:hAnsi="Geist Fallback"/>
          <w:sz w:val="23"/>
          <w:szCs w:val="23"/>
        </w:rPr>
        <w:t xml:space="preserve">Other non-common species are Pseudomonas, </w:t>
      </w:r>
      <w:proofErr w:type="spellStart"/>
      <w:r>
        <w:rPr>
          <w:rStyle w:val="cursor-pointer"/>
          <w:rFonts w:ascii="Geist Fallback" w:hAnsi="Geist Fallback"/>
          <w:sz w:val="23"/>
          <w:szCs w:val="23"/>
        </w:rPr>
        <w:t>Haemophilus</w:t>
      </w:r>
      <w:proofErr w:type="spellEnd"/>
      <w:r>
        <w:rPr>
          <w:rStyle w:val="cursor-pointer"/>
          <w:rFonts w:ascii="Geist Fallback" w:hAnsi="Geist Fallback"/>
          <w:sz w:val="23"/>
          <w:szCs w:val="23"/>
        </w:rPr>
        <w:t>, and Moraxella species.</w:t>
      </w:r>
      <w:r>
        <w:rPr>
          <w:rFonts w:ascii="Geist Fallback" w:hAnsi="Geist Fallback"/>
          <w:sz w:val="23"/>
          <w:szCs w:val="23"/>
        </w:rPr>
        <w:t xml:space="preserve"> </w:t>
      </w:r>
      <w:r>
        <w:rPr>
          <w:rStyle w:val="cursor-pointer"/>
          <w:rFonts w:ascii="Geist Fallback" w:hAnsi="Geist Fallback"/>
          <w:sz w:val="23"/>
          <w:szCs w:val="23"/>
        </w:rPr>
        <w:t>There are several important roles of the ocular microbiome in the maintenance of ocular health.</w:t>
      </w:r>
      <w:r>
        <w:rPr>
          <w:rFonts w:ascii="Geist Fallback" w:hAnsi="Geist Fallback"/>
          <w:sz w:val="23"/>
          <w:szCs w:val="23"/>
        </w:rPr>
        <w:t xml:space="preserve"> </w:t>
      </w:r>
      <w:proofErr w:type="gramStart"/>
      <w:r>
        <w:rPr>
          <w:rStyle w:val="cursor-pointer"/>
          <w:rFonts w:ascii="Geist Fallback" w:hAnsi="Geist Fallback"/>
          <w:sz w:val="23"/>
          <w:szCs w:val="23"/>
        </w:rPr>
        <w:t>Firstly</w:t>
      </w:r>
      <w:proofErr w:type="gramEnd"/>
      <w:r>
        <w:rPr>
          <w:rStyle w:val="cursor-pointer"/>
          <w:rFonts w:ascii="Geist Fallback" w:hAnsi="Geist Fallback"/>
          <w:sz w:val="23"/>
          <w:szCs w:val="23"/>
        </w:rPr>
        <w:t xml:space="preserve"> it is a barrier to pathogenic microorganisms that are able to cause infection by out-competing pathogenic microbes for space and resources.</w:t>
      </w:r>
      <w:r>
        <w:rPr>
          <w:rFonts w:ascii="Geist Fallback" w:hAnsi="Geist Fallback"/>
          <w:sz w:val="23"/>
          <w:szCs w:val="23"/>
        </w:rPr>
        <w:t xml:space="preserve"> </w:t>
      </w:r>
      <w:r>
        <w:rPr>
          <w:rStyle w:val="cursor-pointer"/>
          <w:rFonts w:ascii="Geist Fallback" w:hAnsi="Geist Fallback"/>
          <w:sz w:val="23"/>
          <w:szCs w:val="23"/>
        </w:rPr>
        <w:t>Production of antimicrobial peptides, competition for resources, and control of local immune responses protect microbes.</w:t>
      </w:r>
      <w:r>
        <w:rPr>
          <w:rFonts w:ascii="Geist Fallback" w:hAnsi="Geist Fallback"/>
          <w:sz w:val="23"/>
          <w:szCs w:val="23"/>
        </w:rPr>
        <w:t xml:space="preserve"> </w:t>
      </w:r>
      <w:r w:rsidR="00393247">
        <w:rPr>
          <w:rFonts w:ascii="Geist Fallback" w:hAnsi="Geist Fallback"/>
          <w:sz w:val="23"/>
          <w:szCs w:val="23"/>
        </w:rPr>
        <w:t>[33]</w:t>
      </w:r>
      <w:r>
        <w:rPr>
          <w:rFonts w:ascii="Geist Fallback" w:hAnsi="Geist Fallback"/>
          <w:sz w:val="23"/>
          <w:szCs w:val="23"/>
        </w:rPr>
        <w:t xml:space="preserve">. </w:t>
      </w:r>
      <w:r>
        <w:rPr>
          <w:rStyle w:val="cursor-pointer"/>
          <w:rFonts w:ascii="Geist Fallback" w:hAnsi="Geist Fallback"/>
          <w:sz w:val="23"/>
          <w:szCs w:val="23"/>
        </w:rPr>
        <w:t>Surface immune system is regulated by ocular microbiota.</w:t>
      </w:r>
      <w:r>
        <w:rPr>
          <w:rFonts w:ascii="Geist Fallback" w:hAnsi="Geist Fallback"/>
          <w:sz w:val="23"/>
          <w:szCs w:val="23"/>
        </w:rPr>
        <w:t xml:space="preserve"> </w:t>
      </w:r>
      <w:r>
        <w:rPr>
          <w:rStyle w:val="cursor-pointer"/>
          <w:rFonts w:ascii="Geist Fallback" w:hAnsi="Geist Fallback"/>
          <w:sz w:val="23"/>
          <w:szCs w:val="23"/>
        </w:rPr>
        <w:t>Interaction with resident immune cells such as dendritic cells and macrophages is key in preserving the immunological homeostasis and tolerance.</w:t>
      </w:r>
      <w:r>
        <w:rPr>
          <w:rFonts w:ascii="Geist Fallback" w:hAnsi="Geist Fallback"/>
          <w:sz w:val="23"/>
          <w:szCs w:val="23"/>
        </w:rPr>
        <w:t xml:space="preserve"> </w:t>
      </w:r>
      <w:r>
        <w:rPr>
          <w:rStyle w:val="cursor-pointer"/>
          <w:rFonts w:ascii="Geist Fallback" w:hAnsi="Geist Fallback"/>
          <w:sz w:val="23"/>
          <w:szCs w:val="23"/>
        </w:rPr>
        <w:t>Microbiome directly affect the eye surface environment which protects, lubricates and nourishes the eye – the tear film.</w:t>
      </w:r>
      <w:r>
        <w:rPr>
          <w:rFonts w:ascii="Geist Fallback" w:hAnsi="Geist Fallback"/>
          <w:sz w:val="23"/>
          <w:szCs w:val="23"/>
        </w:rPr>
        <w:t xml:space="preserve"> </w:t>
      </w:r>
      <w:r>
        <w:rPr>
          <w:rStyle w:val="cursor-pointer"/>
          <w:rFonts w:ascii="Geist Fallback" w:hAnsi="Geist Fallback"/>
          <w:sz w:val="23"/>
          <w:szCs w:val="23"/>
        </w:rPr>
        <w:t>Because of its role in maintaining health, dysbiosis can induce inflammatory diseases of the eye in the ocular microbiome such as DED, bacterial keratitis and conjunctivitis.</w:t>
      </w:r>
      <w:r>
        <w:rPr>
          <w:rFonts w:ascii="Geist Fallback" w:hAnsi="Geist Fallback"/>
          <w:sz w:val="23"/>
          <w:szCs w:val="23"/>
        </w:rPr>
        <w:t xml:space="preserve"> </w:t>
      </w:r>
      <w:r w:rsidR="00810145">
        <w:rPr>
          <w:rFonts w:ascii="Geist Fallback" w:hAnsi="Geist Fallback"/>
          <w:sz w:val="23"/>
          <w:szCs w:val="23"/>
        </w:rPr>
        <w:t>[49]</w:t>
      </w:r>
      <w:r>
        <w:rPr>
          <w:rFonts w:ascii="Geist Fallback" w:hAnsi="Geist Fallback"/>
          <w:sz w:val="23"/>
          <w:szCs w:val="23"/>
        </w:rPr>
        <w:t>.</w:t>
      </w:r>
    </w:p>
    <w:p w14:paraId="5FA32083" w14:textId="1BC3F08C" w:rsidR="00870551" w:rsidRPr="008025AD" w:rsidRDefault="00870551" w:rsidP="00870551">
      <w:pPr>
        <w:spacing w:line="360" w:lineRule="auto"/>
        <w:jc w:val="both"/>
        <w:rPr>
          <w:rFonts w:ascii="Times New Roman" w:hAnsi="Times New Roman" w:cs="Times New Roman"/>
          <w:b/>
          <w:bCs/>
          <w:color w:val="0070C0"/>
        </w:rPr>
      </w:pPr>
      <w:r w:rsidRPr="008025AD">
        <w:rPr>
          <w:rFonts w:ascii="Times New Roman" w:hAnsi="Times New Roman" w:cs="Times New Roman"/>
          <w:b/>
          <w:bCs/>
          <w:color w:val="0070C0"/>
        </w:rPr>
        <w:t>4.2 Inflammatory Diseases of the Ocular Surface</w:t>
      </w:r>
    </w:p>
    <w:p w14:paraId="4DF70EE0" w14:textId="72857A9B" w:rsidR="00870551" w:rsidRPr="00695609" w:rsidRDefault="00870551" w:rsidP="00870551">
      <w:pPr>
        <w:spacing w:line="240" w:lineRule="auto"/>
        <w:jc w:val="both"/>
        <w:rPr>
          <w:rFonts w:ascii="Times New Roman" w:hAnsi="Times New Roman" w:cs="Times New Roman"/>
        </w:rPr>
      </w:pPr>
      <w:r>
        <w:rPr>
          <w:rStyle w:val="cursor-pointer"/>
          <w:rFonts w:ascii="Geist Fallback" w:hAnsi="Geist Fallback"/>
          <w:sz w:val="23"/>
          <w:szCs w:val="23"/>
        </w:rPr>
        <w:t>Ocular surface inflammatory diseases are a variety of diseases which cause an inflammatory response in the conjunctiva, cornea, and nearby ocular surfaces.</w:t>
      </w:r>
      <w:r>
        <w:rPr>
          <w:rFonts w:ascii="Geist Fallback" w:hAnsi="Geist Fallback"/>
          <w:sz w:val="23"/>
          <w:szCs w:val="23"/>
        </w:rPr>
        <w:t xml:space="preserve"> </w:t>
      </w:r>
      <w:r>
        <w:rPr>
          <w:rStyle w:val="cursor-pointer"/>
          <w:rFonts w:ascii="Geist Fallback" w:hAnsi="Geist Fallback"/>
          <w:sz w:val="23"/>
          <w:szCs w:val="23"/>
        </w:rPr>
        <w:t>Most common inflammatory diseases are DED, allergic conjunctivitis and blepharitis.</w:t>
      </w:r>
      <w:r>
        <w:rPr>
          <w:rFonts w:ascii="Geist Fallback" w:hAnsi="Geist Fallback"/>
          <w:sz w:val="23"/>
          <w:szCs w:val="23"/>
        </w:rPr>
        <w:t xml:space="preserve"> </w:t>
      </w:r>
      <w:r w:rsidR="003957AA">
        <w:rPr>
          <w:rFonts w:ascii="Geist Fallback" w:hAnsi="Geist Fallback"/>
          <w:sz w:val="23"/>
          <w:szCs w:val="23"/>
        </w:rPr>
        <w:t>[50]</w:t>
      </w:r>
      <w:r>
        <w:rPr>
          <w:rFonts w:ascii="Geist Fallback" w:hAnsi="Geist Fallback"/>
          <w:sz w:val="23"/>
          <w:szCs w:val="23"/>
        </w:rPr>
        <w:t xml:space="preserve">. </w:t>
      </w:r>
      <w:r>
        <w:rPr>
          <w:rStyle w:val="cursor-pointer"/>
          <w:rFonts w:ascii="Geist Fallback" w:hAnsi="Geist Fallback"/>
          <w:sz w:val="23"/>
          <w:szCs w:val="23"/>
        </w:rPr>
        <w:t>These can cause vision problems, irritate the eye and in extreme cases, cause permanent damage to the surface of the eye.</w:t>
      </w:r>
      <w:r>
        <w:rPr>
          <w:rFonts w:ascii="Geist Fallback" w:hAnsi="Geist Fallback"/>
          <w:sz w:val="23"/>
          <w:szCs w:val="23"/>
        </w:rPr>
        <w:t xml:space="preserve"> </w:t>
      </w:r>
      <w:r>
        <w:rPr>
          <w:rStyle w:val="cursor-pointer"/>
          <w:rFonts w:ascii="Geist Fallback" w:hAnsi="Geist Fallback"/>
          <w:sz w:val="23"/>
          <w:szCs w:val="23"/>
        </w:rPr>
        <w:t>The pathogenesis of many of these diseases is probably multifactorial and involves environmental factors, genetic factors, genetic elements of the immune system or a combination of the above.</w:t>
      </w:r>
      <w:r>
        <w:rPr>
          <w:rFonts w:ascii="Geist Fallback" w:hAnsi="Geist Fallback"/>
          <w:sz w:val="23"/>
          <w:szCs w:val="23"/>
        </w:rPr>
        <w:t xml:space="preserve"> </w:t>
      </w:r>
      <w:r>
        <w:rPr>
          <w:rStyle w:val="cursor-pointer"/>
          <w:rFonts w:ascii="Geist Fallback" w:hAnsi="Geist Fallback"/>
          <w:sz w:val="23"/>
          <w:szCs w:val="23"/>
        </w:rPr>
        <w:t xml:space="preserve">Increasingly, however, there is evidence for both the ocular and the systemic microbiome components to regulate ocular surface inflammation </w:t>
      </w:r>
      <w:r w:rsidR="00650756">
        <w:rPr>
          <w:rStyle w:val="cursor-pointer"/>
          <w:rFonts w:ascii="Geist Fallback" w:hAnsi="Geist Fallback"/>
          <w:sz w:val="23"/>
          <w:szCs w:val="23"/>
        </w:rPr>
        <w:t>[51]</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DED is one of the most common inflammatory eye diseases associated with a decrease in tear film homeostasis, discomfort, dryness, and decreased ocular function.</w:t>
      </w:r>
      <w:r>
        <w:rPr>
          <w:rFonts w:ascii="Geist Fallback" w:hAnsi="Geist Fallback"/>
          <w:sz w:val="23"/>
          <w:szCs w:val="23"/>
        </w:rPr>
        <w:t xml:space="preserve"> </w:t>
      </w:r>
      <w:r>
        <w:rPr>
          <w:rStyle w:val="cursor-pointer"/>
          <w:rFonts w:ascii="Geist Fallback" w:hAnsi="Geist Fallback"/>
          <w:sz w:val="23"/>
          <w:szCs w:val="23"/>
        </w:rPr>
        <w:t xml:space="preserve">DED is an immunological reaction to environmental factors, including low humidity, screen time and air pollution, that causes inflammation of the ocular surface </w:t>
      </w:r>
      <w:r w:rsidR="00923E98">
        <w:rPr>
          <w:rStyle w:val="cursor-pointer"/>
          <w:rFonts w:ascii="Geist Fallback" w:hAnsi="Geist Fallback"/>
          <w:sz w:val="23"/>
          <w:szCs w:val="23"/>
        </w:rPr>
        <w:t>[52]</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Recent studies suggest that dysbiosis of the ocular microbiome may play a role in the development and/or worsening of DED.</w:t>
      </w:r>
      <w:r>
        <w:rPr>
          <w:rFonts w:ascii="Geist Fallback" w:hAnsi="Geist Fallback"/>
          <w:sz w:val="23"/>
          <w:szCs w:val="23"/>
        </w:rPr>
        <w:t xml:space="preserve"> </w:t>
      </w:r>
      <w:r>
        <w:rPr>
          <w:rStyle w:val="cursor-pointer"/>
          <w:rFonts w:ascii="Geist Fallback" w:hAnsi="Geist Fallback"/>
          <w:sz w:val="23"/>
          <w:szCs w:val="23"/>
        </w:rPr>
        <w:t>In DED patients (Figure 3), there are greater disparities between the levels of Firmicutes and Proteobacteria on the ocular surface.</w:t>
      </w:r>
      <w:r>
        <w:rPr>
          <w:rFonts w:ascii="Geist Fallback" w:hAnsi="Geist Fallback"/>
          <w:sz w:val="23"/>
          <w:szCs w:val="23"/>
        </w:rPr>
        <w:t xml:space="preserve"> </w:t>
      </w:r>
      <w:r>
        <w:rPr>
          <w:rStyle w:val="cursor-pointer"/>
          <w:rFonts w:ascii="Geist Fallback" w:hAnsi="Geist Fallback"/>
          <w:sz w:val="23"/>
          <w:szCs w:val="23"/>
        </w:rPr>
        <w:t xml:space="preserve">Recent studies suggest that the ocular surface microbiome can be considered as a therapeutic and/or preventive target for multiple ocular diseases </w:t>
      </w:r>
      <w:r w:rsidR="00F55055">
        <w:rPr>
          <w:rStyle w:val="cursor-pointer"/>
          <w:rFonts w:ascii="Geist Fallback" w:hAnsi="Geist Fallback"/>
          <w:sz w:val="23"/>
          <w:szCs w:val="23"/>
        </w:rPr>
        <w:t>[53]</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Application of topical Lactobacillus and Bifidobacterium may have an effect on the exogenous and local microbial balance while altering the immune response.</w:t>
      </w:r>
      <w:r>
        <w:rPr>
          <w:rFonts w:ascii="Geist Fallback" w:hAnsi="Geist Fallback"/>
          <w:sz w:val="23"/>
          <w:szCs w:val="23"/>
        </w:rPr>
        <w:t xml:space="preserve"> </w:t>
      </w:r>
      <w:r>
        <w:rPr>
          <w:rStyle w:val="cursor-pointer"/>
          <w:rFonts w:ascii="Geist Fallback" w:hAnsi="Geist Fallback"/>
          <w:sz w:val="23"/>
          <w:szCs w:val="23"/>
        </w:rPr>
        <w:t xml:space="preserve">The use of dietary therapies that improve gut and eye microbiome homeostasis with the use of omega-3 fatty acid, prebiotics and probiotics might be able to influence ocular surface diseases (OSDs) </w:t>
      </w:r>
      <w:r w:rsidR="00F55055">
        <w:rPr>
          <w:rStyle w:val="cursor-pointer"/>
          <w:rFonts w:ascii="Geist Fallback" w:hAnsi="Geist Fallback"/>
          <w:sz w:val="23"/>
          <w:szCs w:val="23"/>
        </w:rPr>
        <w:t>[53]</w:t>
      </w:r>
      <w:r>
        <w:rPr>
          <w:rStyle w:val="cursor-pointer"/>
          <w:rFonts w:ascii="Geist Fallback" w:hAnsi="Geist Fallback"/>
          <w:sz w:val="23"/>
          <w:szCs w:val="23"/>
        </w:rPr>
        <w:t>.</w:t>
      </w:r>
    </w:p>
    <w:p w14:paraId="1E17CA19" w14:textId="77777777" w:rsidR="003D3D96" w:rsidRPr="003D3D96" w:rsidRDefault="003D3D96" w:rsidP="00B930CE">
      <w:pPr>
        <w:pStyle w:val="ListParagraph"/>
        <w:spacing w:after="160"/>
        <w:ind w:left="0"/>
        <w:contextualSpacing/>
        <w:rPr>
          <w:rFonts w:ascii="Times" w:hAnsi="Times"/>
        </w:rPr>
      </w:pPr>
    </w:p>
    <w:p w14:paraId="4507144E" w14:textId="77777777" w:rsidR="002E1AC6" w:rsidRPr="008025AD" w:rsidRDefault="003D3D96" w:rsidP="002E1AC6">
      <w:pPr>
        <w:spacing w:line="240" w:lineRule="auto"/>
        <w:jc w:val="both"/>
        <w:rPr>
          <w:rFonts w:ascii="Times New Roman" w:hAnsi="Times New Roman" w:cs="Times New Roman"/>
          <w:b/>
          <w:bCs/>
          <w:color w:val="0070C0"/>
        </w:rPr>
      </w:pPr>
      <w:r w:rsidRPr="00950663">
        <w:rPr>
          <w:rFonts w:ascii="Times" w:hAnsi="Times"/>
          <w:b/>
          <w:color w:val="2E74B5" w:themeColor="accent5" w:themeShade="BF"/>
        </w:rPr>
        <w:t xml:space="preserve">5. </w:t>
      </w:r>
      <w:r w:rsidR="002E1AC6" w:rsidRPr="008025AD">
        <w:rPr>
          <w:rFonts w:ascii="Times New Roman" w:hAnsi="Times New Roman" w:cs="Times New Roman"/>
          <w:b/>
          <w:bCs/>
          <w:color w:val="0070C0"/>
        </w:rPr>
        <w:t>OBESITY, GUT MICROBIOTA DYSBIOSIS</w:t>
      </w:r>
      <w:r w:rsidR="002E1AC6" w:rsidRPr="008025AD">
        <w:rPr>
          <w:rFonts w:ascii="Times New Roman" w:hAnsi="Times New Roman" w:cs="Times New Roman"/>
          <w:b/>
          <w:bCs/>
          <w:color w:val="0070C0"/>
        </w:rPr>
        <w:t> </w:t>
      </w:r>
      <w:r w:rsidR="002E1AC6" w:rsidRPr="008025AD">
        <w:rPr>
          <w:rFonts w:ascii="Times New Roman" w:hAnsi="Times New Roman" w:cs="Times New Roman"/>
          <w:b/>
          <w:bCs/>
          <w:color w:val="0070C0"/>
        </w:rPr>
        <w:t>AND INFLUENCE ON OCULAR SURFACE HEALTH</w:t>
      </w:r>
    </w:p>
    <w:p w14:paraId="3BA2D927" w14:textId="54918D1E" w:rsidR="002E1AC6" w:rsidRPr="00A04BF7" w:rsidRDefault="002E1AC6" w:rsidP="002E1AC6">
      <w:pPr>
        <w:spacing w:line="240" w:lineRule="auto"/>
        <w:jc w:val="both"/>
        <w:rPr>
          <w:rFonts w:ascii="Times New Roman" w:hAnsi="Times New Roman" w:cs="Times New Roman"/>
        </w:rPr>
      </w:pPr>
      <w:r>
        <w:rPr>
          <w:rStyle w:val="cursor-pointer"/>
          <w:rFonts w:ascii="Geist Fallback" w:hAnsi="Geist Fallback"/>
          <w:sz w:val="23"/>
          <w:szCs w:val="23"/>
        </w:rPr>
        <w:t xml:space="preserve">Currently obesity is not just a metabolic disorder, it is also a heterogeneous systemic disorder and has a number of phenotypes including chronic </w:t>
      </w:r>
      <w:proofErr w:type="gramStart"/>
      <w:r>
        <w:rPr>
          <w:rStyle w:val="cursor-pointer"/>
          <w:rFonts w:ascii="Geist Fallback" w:hAnsi="Geist Fallback"/>
          <w:sz w:val="23"/>
          <w:szCs w:val="23"/>
        </w:rPr>
        <w:t>low grade</w:t>
      </w:r>
      <w:proofErr w:type="gramEnd"/>
      <w:r>
        <w:rPr>
          <w:rStyle w:val="cursor-pointer"/>
          <w:rFonts w:ascii="Geist Fallback" w:hAnsi="Geist Fallback"/>
          <w:sz w:val="23"/>
          <w:szCs w:val="23"/>
        </w:rPr>
        <w:t xml:space="preserve"> inflammation, oxidative stress, and microbiota dysbiosis.</w:t>
      </w:r>
      <w:r>
        <w:rPr>
          <w:rFonts w:ascii="Geist Fallback" w:hAnsi="Geist Fallback"/>
          <w:sz w:val="23"/>
          <w:szCs w:val="23"/>
        </w:rPr>
        <w:t xml:space="preserve"> </w:t>
      </w:r>
      <w:r>
        <w:rPr>
          <w:rStyle w:val="cursor-pointer"/>
          <w:rFonts w:ascii="Geist Fallback" w:hAnsi="Geist Fallback"/>
          <w:sz w:val="23"/>
          <w:szCs w:val="23"/>
        </w:rPr>
        <w:t xml:space="preserve">The microbial community in the gut of obese individuals (such as a lower diversity and higher Firmicutes/Bacteroidetes ratio) can influence metabolic pathways and systemic immune responses </w:t>
      </w:r>
      <w:r w:rsidR="007A0064">
        <w:rPr>
          <w:rStyle w:val="cursor-pointer"/>
          <w:rFonts w:ascii="Geist Fallback" w:hAnsi="Geist Fallback"/>
          <w:sz w:val="23"/>
          <w:szCs w:val="23"/>
        </w:rPr>
        <w:t>[54]</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 xml:space="preserve">These </w:t>
      </w:r>
      <w:proofErr w:type="spellStart"/>
      <w:r>
        <w:rPr>
          <w:rStyle w:val="cursor-pointer"/>
          <w:rFonts w:ascii="Geist Fallback" w:hAnsi="Geist Fallback"/>
          <w:sz w:val="23"/>
          <w:szCs w:val="23"/>
        </w:rPr>
        <w:t>dysbiotic</w:t>
      </w:r>
      <w:proofErr w:type="spellEnd"/>
      <w:r>
        <w:rPr>
          <w:rStyle w:val="cursor-pointer"/>
          <w:rFonts w:ascii="Geist Fallback" w:hAnsi="Geist Fallback"/>
          <w:sz w:val="23"/>
          <w:szCs w:val="23"/>
        </w:rPr>
        <w:t xml:space="preserve"> changes have implications in the development of obesity-related complications early on in obesity disease development as well and may influence other distal organs, including the eye.</w:t>
      </w:r>
      <w:r>
        <w:rPr>
          <w:rFonts w:ascii="Geist Fallback" w:hAnsi="Geist Fallback"/>
          <w:sz w:val="23"/>
          <w:szCs w:val="23"/>
        </w:rPr>
        <w:t xml:space="preserve"> </w:t>
      </w:r>
      <w:r>
        <w:rPr>
          <w:rStyle w:val="cursor-pointer"/>
          <w:rFonts w:ascii="Geist Fallback" w:hAnsi="Geist Fallback"/>
          <w:sz w:val="23"/>
          <w:szCs w:val="23"/>
        </w:rPr>
        <w:t>There has been recent evidence suggesting the gut microbiota can exert immune effects and/or production of microbial metabolites (such as SCFAs and LPS) that affect the ocular surface homeostasis.</w:t>
      </w:r>
      <w:r>
        <w:rPr>
          <w:rFonts w:ascii="Geist Fallback" w:hAnsi="Geist Fallback"/>
          <w:sz w:val="23"/>
          <w:szCs w:val="23"/>
        </w:rPr>
        <w:t xml:space="preserve"> </w:t>
      </w:r>
      <w:r>
        <w:rPr>
          <w:rStyle w:val="cursor-pointer"/>
          <w:rFonts w:ascii="Geist Fallback" w:hAnsi="Geist Fallback"/>
          <w:sz w:val="23"/>
          <w:szCs w:val="23"/>
        </w:rPr>
        <w:t xml:space="preserve">It can enter the systemic circulation and impact the inflammatory pathway in the changing mechanism of dry eye disease and the resultant changes to the ocular surface inflammation </w:t>
      </w:r>
      <w:r w:rsidR="00985F91">
        <w:rPr>
          <w:rStyle w:val="cursor-pointer"/>
          <w:rFonts w:ascii="Geist Fallback" w:hAnsi="Geist Fallback"/>
          <w:sz w:val="23"/>
          <w:szCs w:val="23"/>
        </w:rPr>
        <w:t>[55]</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 xml:space="preserve">Scrutineous eating patterns that are prevalent in obesity (Low Fiber, High Refined Carbohydrate, and High Saturated Fat) worsen the gut microbiota dysbiosis, not only by reducing the levels of protective microbial metabolites, but also by increasing systemic inflammation </w:t>
      </w:r>
      <w:r w:rsidR="002F4C4B">
        <w:rPr>
          <w:rStyle w:val="cursor-pointer"/>
          <w:rFonts w:ascii="Geist Fallback" w:hAnsi="Geist Fallback"/>
          <w:sz w:val="23"/>
          <w:szCs w:val="23"/>
        </w:rPr>
        <w:t>[56]</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Lastly, obesity is also linked with insulin resistance and T2DM, (which have each been linked with MG disease and unstable tear film)</w:t>
      </w:r>
      <w:r w:rsidR="00B3713C">
        <w:rPr>
          <w:rStyle w:val="cursor-pointer"/>
          <w:rFonts w:ascii="Geist Fallback" w:hAnsi="Geist Fallback"/>
          <w:sz w:val="23"/>
          <w:szCs w:val="23"/>
        </w:rPr>
        <w:t xml:space="preserve"> </w:t>
      </w:r>
      <w:r w:rsidR="002F4C4B">
        <w:rPr>
          <w:rStyle w:val="cursor-pointer"/>
          <w:rFonts w:ascii="Geist Fallback" w:hAnsi="Geist Fallback"/>
          <w:sz w:val="23"/>
          <w:szCs w:val="23"/>
        </w:rPr>
        <w:t>[57]</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lastRenderedPageBreak/>
        <w:t>Ocular surface homeostasis may be impaired by dysbiosis of the gut microbiome and metabolic disorders, which may work together.</w:t>
      </w:r>
      <w:r>
        <w:rPr>
          <w:rFonts w:ascii="Geist Fallback" w:hAnsi="Geist Fallback"/>
          <w:sz w:val="23"/>
          <w:szCs w:val="23"/>
        </w:rPr>
        <w:t xml:space="preserve"> </w:t>
      </w:r>
      <w:r>
        <w:rPr>
          <w:rStyle w:val="cursor-pointer"/>
          <w:rFonts w:ascii="Geist Fallback" w:hAnsi="Geist Fallback"/>
          <w:sz w:val="23"/>
          <w:szCs w:val="23"/>
        </w:rPr>
        <w:t>These collectively highlight the potential for investigating individual nutrition interventions and microbiome-targeting treatments to improve eye health in obesity.</w:t>
      </w:r>
      <w:r>
        <w:rPr>
          <w:rFonts w:ascii="Geist Fallback" w:hAnsi="Geist Fallback"/>
          <w:sz w:val="23"/>
          <w:szCs w:val="23"/>
        </w:rPr>
        <w:t xml:space="preserve"> </w:t>
      </w:r>
      <w:r>
        <w:rPr>
          <w:rStyle w:val="cursor-pointer"/>
          <w:rFonts w:ascii="Geist Fallback" w:hAnsi="Geist Fallback"/>
          <w:sz w:val="23"/>
          <w:szCs w:val="23"/>
        </w:rPr>
        <w:t>It can provide additional understanding of the gut-eye axis in obesity that can drive therapy individualization, as well as a more holistic strategy for the treatment of metabolic and ocular surface diseases.</w:t>
      </w:r>
    </w:p>
    <w:p w14:paraId="4C954CDC" w14:textId="71718308" w:rsidR="00D17AED" w:rsidRDefault="00D17AED" w:rsidP="002E1AC6">
      <w:pPr>
        <w:pStyle w:val="ListParagraph"/>
        <w:spacing w:after="160" w:line="276" w:lineRule="auto"/>
        <w:ind w:left="0" w:firstLine="0"/>
        <w:contextualSpacing/>
        <w:rPr>
          <w:rFonts w:ascii="Times" w:hAnsi="Times"/>
          <w:b/>
        </w:rPr>
        <w:sectPr w:rsidR="00D17AED" w:rsidSect="00EB3C83">
          <w:type w:val="continuous"/>
          <w:pgSz w:w="11906" w:h="16838" w:code="9"/>
          <w:pgMar w:top="851" w:right="851" w:bottom="851" w:left="851" w:header="720" w:footer="0" w:gutter="0"/>
          <w:cols w:num="2" w:space="386"/>
          <w:docGrid w:linePitch="360"/>
        </w:sectPr>
      </w:pPr>
    </w:p>
    <w:p w14:paraId="4C7590F2" w14:textId="77777777" w:rsidR="00695609" w:rsidRDefault="00695609" w:rsidP="00DB363A">
      <w:pPr>
        <w:pStyle w:val="ListParagraph"/>
        <w:widowControl/>
        <w:autoSpaceDE/>
        <w:autoSpaceDN/>
        <w:spacing w:after="160" w:line="276" w:lineRule="auto"/>
        <w:ind w:left="0" w:firstLine="0"/>
        <w:contextualSpacing/>
        <w:rPr>
          <w:rFonts w:ascii="Times" w:hAnsi="Times"/>
          <w:b/>
        </w:rPr>
      </w:pPr>
    </w:p>
    <w:p w14:paraId="0BB3825B" w14:textId="77777777" w:rsidR="00695609" w:rsidRDefault="00695609" w:rsidP="00DB363A">
      <w:pPr>
        <w:pStyle w:val="ListParagraph"/>
        <w:widowControl/>
        <w:autoSpaceDE/>
        <w:autoSpaceDN/>
        <w:spacing w:after="160" w:line="276" w:lineRule="auto"/>
        <w:ind w:left="0" w:firstLine="0"/>
        <w:contextualSpacing/>
        <w:rPr>
          <w:rFonts w:ascii="Times" w:hAnsi="Times"/>
          <w:b/>
        </w:rPr>
      </w:pPr>
    </w:p>
    <w:p w14:paraId="1178A869" w14:textId="20737BC3" w:rsidR="00695609" w:rsidRDefault="002E1AC6" w:rsidP="002E1AC6">
      <w:pPr>
        <w:pStyle w:val="ListParagraph"/>
        <w:widowControl/>
        <w:autoSpaceDE/>
        <w:autoSpaceDN/>
        <w:spacing w:after="160" w:line="276" w:lineRule="auto"/>
        <w:ind w:left="0" w:firstLine="0"/>
        <w:contextualSpacing/>
        <w:jc w:val="center"/>
        <w:rPr>
          <w:rFonts w:ascii="Times" w:hAnsi="Times"/>
          <w:b/>
        </w:rPr>
      </w:pPr>
      <w:r>
        <w:rPr>
          <w:noProof/>
        </w:rPr>
        <w:drawing>
          <wp:inline distT="0" distB="0" distL="0" distR="0" wp14:anchorId="05B9566D" wp14:editId="362E11F4">
            <wp:extent cx="5791200" cy="5791200"/>
            <wp:effectExtent l="0" t="0" r="0" b="0"/>
            <wp:docPr id="18975025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91200" cy="5791200"/>
                    </a:xfrm>
                    <a:prstGeom prst="rect">
                      <a:avLst/>
                    </a:prstGeom>
                    <a:noFill/>
                    <a:ln>
                      <a:noFill/>
                    </a:ln>
                  </pic:spPr>
                </pic:pic>
              </a:graphicData>
            </a:graphic>
          </wp:inline>
        </w:drawing>
      </w:r>
    </w:p>
    <w:p w14:paraId="67BC4662" w14:textId="77777777" w:rsidR="002E1AC6" w:rsidRPr="006D3C70" w:rsidRDefault="002E1AC6" w:rsidP="002E1AC6">
      <w:pPr>
        <w:spacing w:line="360" w:lineRule="auto"/>
        <w:jc w:val="center"/>
        <w:rPr>
          <w:rFonts w:ascii="Times New Roman" w:hAnsi="Times New Roman" w:cs="Times New Roman"/>
          <w:b/>
          <w:bCs/>
        </w:rPr>
      </w:pPr>
      <w:r w:rsidRPr="006D3C70">
        <w:rPr>
          <w:rFonts w:ascii="Times New Roman" w:hAnsi="Times New Roman" w:cs="Times New Roman"/>
          <w:b/>
          <w:bCs/>
        </w:rPr>
        <w:t xml:space="preserve">Figure </w:t>
      </w:r>
      <w:r>
        <w:rPr>
          <w:rFonts w:ascii="Times New Roman" w:hAnsi="Times New Roman" w:cs="Times New Roman"/>
          <w:b/>
          <w:bCs/>
        </w:rPr>
        <w:t>3</w:t>
      </w:r>
      <w:r w:rsidRPr="006D3C70">
        <w:rPr>
          <w:rFonts w:ascii="Times New Roman" w:hAnsi="Times New Roman" w:cs="Times New Roman"/>
          <w:b/>
          <w:bCs/>
        </w:rPr>
        <w:t xml:space="preserve"> </w:t>
      </w:r>
      <w:r>
        <w:rPr>
          <w:rFonts w:ascii="Times New Roman" w:hAnsi="Times New Roman" w:cs="Times New Roman"/>
          <w:b/>
          <w:bCs/>
        </w:rPr>
        <w:t>Schematic representation of g</w:t>
      </w:r>
      <w:r w:rsidRPr="006D3C70">
        <w:rPr>
          <w:rFonts w:ascii="Times New Roman" w:hAnsi="Times New Roman" w:cs="Times New Roman"/>
          <w:b/>
          <w:bCs/>
        </w:rPr>
        <w:t xml:space="preserve">ut </w:t>
      </w:r>
      <w:r>
        <w:rPr>
          <w:rFonts w:ascii="Times New Roman" w:hAnsi="Times New Roman" w:cs="Times New Roman"/>
          <w:b/>
          <w:bCs/>
        </w:rPr>
        <w:t>d</w:t>
      </w:r>
      <w:r w:rsidRPr="006D3C70">
        <w:rPr>
          <w:rFonts w:ascii="Times New Roman" w:hAnsi="Times New Roman" w:cs="Times New Roman"/>
          <w:b/>
          <w:bCs/>
        </w:rPr>
        <w:t>ysbiosis–</w:t>
      </w:r>
      <w:r>
        <w:rPr>
          <w:rFonts w:ascii="Times New Roman" w:hAnsi="Times New Roman" w:cs="Times New Roman"/>
          <w:b/>
          <w:bCs/>
        </w:rPr>
        <w:t>d</w:t>
      </w:r>
      <w:r w:rsidRPr="006D3C70">
        <w:rPr>
          <w:rFonts w:ascii="Times New Roman" w:hAnsi="Times New Roman" w:cs="Times New Roman"/>
          <w:b/>
          <w:bCs/>
        </w:rPr>
        <w:t xml:space="preserve">riven </w:t>
      </w:r>
      <w:r>
        <w:rPr>
          <w:rFonts w:ascii="Times New Roman" w:hAnsi="Times New Roman" w:cs="Times New Roman"/>
          <w:b/>
          <w:bCs/>
        </w:rPr>
        <w:t>ne</w:t>
      </w:r>
      <w:r w:rsidRPr="006D3C70">
        <w:rPr>
          <w:rFonts w:ascii="Times New Roman" w:hAnsi="Times New Roman" w:cs="Times New Roman"/>
          <w:b/>
          <w:bCs/>
        </w:rPr>
        <w:t>uroinflammation</w:t>
      </w:r>
    </w:p>
    <w:p w14:paraId="34DEB833" w14:textId="77777777" w:rsidR="002E1AC6" w:rsidRDefault="002E1AC6" w:rsidP="002E1AC6">
      <w:pPr>
        <w:pStyle w:val="ListParagraph"/>
        <w:widowControl/>
        <w:autoSpaceDE/>
        <w:autoSpaceDN/>
        <w:spacing w:after="160" w:line="276" w:lineRule="auto"/>
        <w:ind w:left="0" w:firstLine="0"/>
        <w:contextualSpacing/>
        <w:jc w:val="center"/>
        <w:rPr>
          <w:rFonts w:ascii="Times" w:hAnsi="Times"/>
          <w:b/>
        </w:rPr>
      </w:pPr>
    </w:p>
    <w:p w14:paraId="5B51008A" w14:textId="77777777" w:rsidR="00695609" w:rsidRDefault="00695609" w:rsidP="00DB363A">
      <w:pPr>
        <w:pStyle w:val="ListParagraph"/>
        <w:widowControl/>
        <w:autoSpaceDE/>
        <w:autoSpaceDN/>
        <w:spacing w:after="160" w:line="276" w:lineRule="auto"/>
        <w:ind w:left="0" w:firstLine="0"/>
        <w:contextualSpacing/>
        <w:rPr>
          <w:rFonts w:ascii="Times" w:hAnsi="Times"/>
          <w:b/>
        </w:rPr>
      </w:pPr>
    </w:p>
    <w:p w14:paraId="1CA208CE" w14:textId="3E175DA4" w:rsidR="00546BFC" w:rsidRPr="00950663" w:rsidRDefault="003D3D96" w:rsidP="00DB363A">
      <w:pPr>
        <w:pStyle w:val="ListParagraph"/>
        <w:widowControl/>
        <w:autoSpaceDE/>
        <w:autoSpaceDN/>
        <w:spacing w:after="160" w:line="276" w:lineRule="auto"/>
        <w:ind w:left="0" w:firstLine="0"/>
        <w:contextualSpacing/>
        <w:rPr>
          <w:rFonts w:ascii="Times" w:hAnsi="Times"/>
          <w:b/>
        </w:rPr>
      </w:pPr>
      <w:r w:rsidRPr="00950663">
        <w:rPr>
          <w:rFonts w:ascii="Times" w:hAnsi="Times"/>
          <w:b/>
        </w:rPr>
        <w:t xml:space="preserve">Table 2 </w:t>
      </w:r>
      <w:r w:rsidR="000E1B9A" w:rsidRPr="00A04BF7">
        <w:rPr>
          <w:b/>
          <w:bCs/>
        </w:rPr>
        <w:t>Role of diet in shaping the composition of gut and ocular microbiota</w:t>
      </w:r>
      <w:r w:rsidR="00B72E73">
        <w:rPr>
          <w:b/>
          <w:bCs/>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3303"/>
        <w:gridCol w:w="2972"/>
        <w:gridCol w:w="1157"/>
      </w:tblGrid>
      <w:tr w:rsidR="00B72E73" w:rsidRPr="00A04BF7" w14:paraId="3EC177E0" w14:textId="77777777" w:rsidTr="00AD11EB">
        <w:tc>
          <w:tcPr>
            <w:tcW w:w="0" w:type="auto"/>
            <w:hideMark/>
          </w:tcPr>
          <w:p w14:paraId="67D94A06" w14:textId="77777777" w:rsidR="00B72E73" w:rsidRPr="00A04BF7" w:rsidRDefault="00B72E73" w:rsidP="00AD11EB">
            <w:pPr>
              <w:spacing w:line="360" w:lineRule="auto"/>
              <w:jc w:val="center"/>
              <w:rPr>
                <w:rFonts w:ascii="Times New Roman" w:hAnsi="Times New Roman" w:cs="Times New Roman"/>
                <w:b/>
                <w:bCs/>
              </w:rPr>
            </w:pPr>
            <w:r w:rsidRPr="00A04BF7">
              <w:rPr>
                <w:rFonts w:ascii="Times New Roman" w:hAnsi="Times New Roman" w:cs="Times New Roman"/>
                <w:b/>
                <w:bCs/>
              </w:rPr>
              <w:t>Dietary Factor</w:t>
            </w:r>
          </w:p>
        </w:tc>
        <w:tc>
          <w:tcPr>
            <w:tcW w:w="0" w:type="auto"/>
            <w:hideMark/>
          </w:tcPr>
          <w:p w14:paraId="15F9B19B" w14:textId="77777777" w:rsidR="00B72E73" w:rsidRPr="00A04BF7" w:rsidRDefault="00B72E73" w:rsidP="00AD11EB">
            <w:pPr>
              <w:spacing w:line="360" w:lineRule="auto"/>
              <w:jc w:val="center"/>
              <w:rPr>
                <w:rFonts w:ascii="Times New Roman" w:hAnsi="Times New Roman" w:cs="Times New Roman"/>
                <w:b/>
                <w:bCs/>
              </w:rPr>
            </w:pPr>
            <w:r w:rsidRPr="00A04BF7">
              <w:rPr>
                <w:rFonts w:ascii="Times New Roman" w:hAnsi="Times New Roman" w:cs="Times New Roman"/>
                <w:b/>
                <w:bCs/>
              </w:rPr>
              <w:t>Impact on Gut Microbiota</w:t>
            </w:r>
          </w:p>
        </w:tc>
        <w:tc>
          <w:tcPr>
            <w:tcW w:w="0" w:type="auto"/>
            <w:hideMark/>
          </w:tcPr>
          <w:p w14:paraId="271F5097" w14:textId="77777777" w:rsidR="00B72E73" w:rsidRPr="00A04BF7" w:rsidRDefault="00B72E73" w:rsidP="00AD11EB">
            <w:pPr>
              <w:spacing w:line="360" w:lineRule="auto"/>
              <w:jc w:val="center"/>
              <w:rPr>
                <w:rFonts w:ascii="Times New Roman" w:hAnsi="Times New Roman" w:cs="Times New Roman"/>
                <w:b/>
                <w:bCs/>
              </w:rPr>
            </w:pPr>
            <w:r w:rsidRPr="00A04BF7">
              <w:rPr>
                <w:rFonts w:ascii="Times New Roman" w:hAnsi="Times New Roman" w:cs="Times New Roman"/>
                <w:b/>
                <w:bCs/>
              </w:rPr>
              <w:t>Impact on Ocular Microbiota</w:t>
            </w:r>
          </w:p>
        </w:tc>
        <w:tc>
          <w:tcPr>
            <w:tcW w:w="0" w:type="auto"/>
            <w:hideMark/>
          </w:tcPr>
          <w:p w14:paraId="77637D0E" w14:textId="77777777" w:rsidR="00B72E73" w:rsidRPr="00A04BF7" w:rsidRDefault="00B72E73" w:rsidP="00AD11EB">
            <w:pPr>
              <w:spacing w:line="360" w:lineRule="auto"/>
              <w:jc w:val="center"/>
              <w:rPr>
                <w:rFonts w:ascii="Times New Roman" w:hAnsi="Times New Roman" w:cs="Times New Roman"/>
                <w:b/>
                <w:bCs/>
              </w:rPr>
            </w:pPr>
            <w:r w:rsidRPr="00A04BF7">
              <w:rPr>
                <w:rFonts w:ascii="Times New Roman" w:hAnsi="Times New Roman" w:cs="Times New Roman"/>
                <w:b/>
                <w:bCs/>
              </w:rPr>
              <w:t>Reference</w:t>
            </w:r>
          </w:p>
        </w:tc>
      </w:tr>
      <w:tr w:rsidR="00B72E73" w:rsidRPr="00A04BF7" w14:paraId="1AF59785" w14:textId="77777777" w:rsidTr="00AD11EB">
        <w:tc>
          <w:tcPr>
            <w:tcW w:w="0" w:type="auto"/>
            <w:hideMark/>
          </w:tcPr>
          <w:p w14:paraId="1F209489" w14:textId="77777777" w:rsidR="00B72E73" w:rsidRPr="00A04BF7" w:rsidRDefault="00B72E73" w:rsidP="00AD11EB">
            <w:pPr>
              <w:spacing w:line="360" w:lineRule="auto"/>
              <w:jc w:val="center"/>
              <w:rPr>
                <w:rFonts w:ascii="Times New Roman" w:hAnsi="Times New Roman" w:cs="Times New Roman"/>
              </w:rPr>
            </w:pPr>
            <w:r w:rsidRPr="00A04BF7">
              <w:rPr>
                <w:rFonts w:ascii="Times New Roman" w:hAnsi="Times New Roman" w:cs="Times New Roman"/>
              </w:rPr>
              <w:t xml:space="preserve">High-Fiber Diet Examples: whole grains, fruits, </w:t>
            </w:r>
            <w:r w:rsidRPr="00A04BF7">
              <w:rPr>
                <w:rFonts w:ascii="Times New Roman" w:hAnsi="Times New Roman" w:cs="Times New Roman"/>
              </w:rPr>
              <w:lastRenderedPageBreak/>
              <w:t>vegetables, legumes.</w:t>
            </w:r>
          </w:p>
        </w:tc>
        <w:tc>
          <w:tcPr>
            <w:tcW w:w="0" w:type="auto"/>
            <w:hideMark/>
          </w:tcPr>
          <w:p w14:paraId="3FEEFC2C" w14:textId="77777777" w:rsidR="00B72E73" w:rsidRPr="00A04BF7" w:rsidRDefault="00B72E73" w:rsidP="00AD11EB">
            <w:pPr>
              <w:spacing w:line="360" w:lineRule="auto"/>
              <w:jc w:val="center"/>
              <w:rPr>
                <w:rFonts w:ascii="Times New Roman" w:hAnsi="Times New Roman" w:cs="Times New Roman"/>
              </w:rPr>
            </w:pPr>
            <w:r w:rsidRPr="00A04BF7">
              <w:rPr>
                <w:rFonts w:ascii="Times New Roman" w:hAnsi="Times New Roman" w:cs="Times New Roman"/>
              </w:rPr>
              <w:lastRenderedPageBreak/>
              <w:t xml:space="preserve">Promotes growth of beneficial Firmicutes, Bacteroidetes, and </w:t>
            </w:r>
            <w:r w:rsidRPr="00A04BF7">
              <w:rPr>
                <w:rFonts w:ascii="Times New Roman" w:hAnsi="Times New Roman" w:cs="Times New Roman"/>
              </w:rPr>
              <w:lastRenderedPageBreak/>
              <w:t>SCFAs (e.g., butyrate).</w:t>
            </w:r>
          </w:p>
        </w:tc>
        <w:tc>
          <w:tcPr>
            <w:tcW w:w="0" w:type="auto"/>
            <w:hideMark/>
          </w:tcPr>
          <w:p w14:paraId="4E4D0ADC" w14:textId="77777777" w:rsidR="00B72E73" w:rsidRPr="00A04BF7" w:rsidRDefault="00B72E73" w:rsidP="00AD11EB">
            <w:pPr>
              <w:spacing w:line="360" w:lineRule="auto"/>
              <w:jc w:val="center"/>
              <w:rPr>
                <w:rFonts w:ascii="Times New Roman" w:hAnsi="Times New Roman" w:cs="Times New Roman"/>
              </w:rPr>
            </w:pPr>
            <w:r w:rsidRPr="00A04BF7">
              <w:rPr>
                <w:rFonts w:ascii="Times New Roman" w:hAnsi="Times New Roman" w:cs="Times New Roman"/>
              </w:rPr>
              <w:lastRenderedPageBreak/>
              <w:t xml:space="preserve">May improve immune regulation and reduce </w:t>
            </w:r>
            <w:r w:rsidRPr="00A04BF7">
              <w:rPr>
                <w:rFonts w:ascii="Times New Roman" w:hAnsi="Times New Roman" w:cs="Times New Roman"/>
              </w:rPr>
              <w:lastRenderedPageBreak/>
              <w:t>inflammation on the ocular surface.</w:t>
            </w:r>
          </w:p>
        </w:tc>
        <w:tc>
          <w:tcPr>
            <w:tcW w:w="0" w:type="auto"/>
            <w:hideMark/>
          </w:tcPr>
          <w:p w14:paraId="7CA682D1" w14:textId="2E5D1D31" w:rsidR="00B72E73" w:rsidRPr="00A04BF7" w:rsidRDefault="00E1000F" w:rsidP="00AD11EB">
            <w:pPr>
              <w:jc w:val="both"/>
              <w:rPr>
                <w:rFonts w:ascii="Times New Roman" w:hAnsi="Times New Roman" w:cs="Times New Roman"/>
              </w:rPr>
            </w:pPr>
            <w:r>
              <w:rPr>
                <w:rFonts w:ascii="Times New Roman" w:hAnsi="Times New Roman" w:cs="Times New Roman"/>
              </w:rPr>
              <w:lastRenderedPageBreak/>
              <w:t>[58]</w:t>
            </w:r>
          </w:p>
        </w:tc>
      </w:tr>
      <w:tr w:rsidR="00B72E73" w:rsidRPr="00A04BF7" w14:paraId="48605C93" w14:textId="77777777" w:rsidTr="00AD11EB">
        <w:tc>
          <w:tcPr>
            <w:tcW w:w="0" w:type="auto"/>
            <w:hideMark/>
          </w:tcPr>
          <w:p w14:paraId="5AC28C14" w14:textId="77777777" w:rsidR="00B72E73" w:rsidRPr="00A04BF7" w:rsidRDefault="00B72E73" w:rsidP="00AD11EB">
            <w:pPr>
              <w:spacing w:line="360" w:lineRule="auto"/>
              <w:jc w:val="center"/>
              <w:rPr>
                <w:rFonts w:ascii="Times New Roman" w:hAnsi="Times New Roman" w:cs="Times New Roman"/>
              </w:rPr>
            </w:pPr>
            <w:r w:rsidRPr="00A04BF7">
              <w:rPr>
                <w:rFonts w:ascii="Times New Roman" w:hAnsi="Times New Roman" w:cs="Times New Roman"/>
              </w:rPr>
              <w:t>High-Fat Diet Examples: red meat, processed foods, fried foods.</w:t>
            </w:r>
          </w:p>
        </w:tc>
        <w:tc>
          <w:tcPr>
            <w:tcW w:w="0" w:type="auto"/>
            <w:hideMark/>
          </w:tcPr>
          <w:p w14:paraId="7484AF08" w14:textId="77777777" w:rsidR="00B72E73" w:rsidRPr="00A04BF7" w:rsidRDefault="00B72E73" w:rsidP="00AD11EB">
            <w:pPr>
              <w:spacing w:line="360" w:lineRule="auto"/>
              <w:jc w:val="center"/>
              <w:rPr>
                <w:rFonts w:ascii="Times New Roman" w:hAnsi="Times New Roman" w:cs="Times New Roman"/>
              </w:rPr>
            </w:pPr>
            <w:r w:rsidRPr="00A04BF7">
              <w:rPr>
                <w:rFonts w:ascii="Times New Roman" w:hAnsi="Times New Roman" w:cs="Times New Roman"/>
              </w:rPr>
              <w:t>Increases Firmicutes to Bacteroidetes ratio, linked to dysbiosis.</w:t>
            </w:r>
          </w:p>
        </w:tc>
        <w:tc>
          <w:tcPr>
            <w:tcW w:w="0" w:type="auto"/>
            <w:hideMark/>
          </w:tcPr>
          <w:p w14:paraId="213BC8F5" w14:textId="77777777" w:rsidR="00B72E73" w:rsidRPr="00A04BF7" w:rsidRDefault="00B72E73" w:rsidP="00AD11EB">
            <w:pPr>
              <w:spacing w:line="360" w:lineRule="auto"/>
              <w:jc w:val="center"/>
              <w:rPr>
                <w:rFonts w:ascii="Times New Roman" w:hAnsi="Times New Roman" w:cs="Times New Roman"/>
              </w:rPr>
            </w:pPr>
            <w:r w:rsidRPr="00A04BF7">
              <w:rPr>
                <w:rFonts w:ascii="Times New Roman" w:hAnsi="Times New Roman" w:cs="Times New Roman"/>
              </w:rPr>
              <w:t>Potentially increases ocular inflammation through gut-ocular axis.</w:t>
            </w:r>
          </w:p>
        </w:tc>
        <w:tc>
          <w:tcPr>
            <w:tcW w:w="0" w:type="auto"/>
            <w:hideMark/>
          </w:tcPr>
          <w:p w14:paraId="0D992D02" w14:textId="232835B6" w:rsidR="00B72E73" w:rsidRPr="00A04BF7" w:rsidRDefault="006E55CE" w:rsidP="00AD11EB">
            <w:pPr>
              <w:spacing w:line="360" w:lineRule="auto"/>
              <w:jc w:val="both"/>
              <w:rPr>
                <w:rFonts w:ascii="Times New Roman" w:hAnsi="Times New Roman" w:cs="Times New Roman"/>
              </w:rPr>
            </w:pPr>
            <w:r>
              <w:rPr>
                <w:rFonts w:ascii="Times New Roman" w:hAnsi="Times New Roman" w:cs="Times New Roman"/>
              </w:rPr>
              <w:t>[59]</w:t>
            </w:r>
          </w:p>
        </w:tc>
      </w:tr>
      <w:tr w:rsidR="00B72E73" w:rsidRPr="00A04BF7" w14:paraId="2F627CF0" w14:textId="77777777" w:rsidTr="00AD11EB">
        <w:tc>
          <w:tcPr>
            <w:tcW w:w="0" w:type="auto"/>
            <w:hideMark/>
          </w:tcPr>
          <w:p w14:paraId="33CC4BBE" w14:textId="77777777" w:rsidR="00B72E73" w:rsidRPr="00A04BF7" w:rsidRDefault="00B72E73" w:rsidP="00AD11EB">
            <w:pPr>
              <w:spacing w:line="360" w:lineRule="auto"/>
              <w:jc w:val="center"/>
              <w:rPr>
                <w:rFonts w:ascii="Times New Roman" w:hAnsi="Times New Roman" w:cs="Times New Roman"/>
              </w:rPr>
            </w:pPr>
            <w:r w:rsidRPr="00A04BF7">
              <w:rPr>
                <w:rFonts w:ascii="Times New Roman" w:hAnsi="Times New Roman" w:cs="Times New Roman"/>
              </w:rPr>
              <w:t>Probiotic-Rich Diet Examples: yogurt, kefir, fermented vegetables.</w:t>
            </w:r>
          </w:p>
        </w:tc>
        <w:tc>
          <w:tcPr>
            <w:tcW w:w="0" w:type="auto"/>
            <w:hideMark/>
          </w:tcPr>
          <w:p w14:paraId="3F8297C8" w14:textId="77777777" w:rsidR="00B72E73" w:rsidRPr="00A04BF7" w:rsidRDefault="00B72E73" w:rsidP="00AD11EB">
            <w:pPr>
              <w:spacing w:line="360" w:lineRule="auto"/>
              <w:jc w:val="center"/>
              <w:rPr>
                <w:rFonts w:ascii="Times New Roman" w:hAnsi="Times New Roman" w:cs="Times New Roman"/>
              </w:rPr>
            </w:pPr>
            <w:r w:rsidRPr="00A04BF7">
              <w:rPr>
                <w:rFonts w:ascii="Times New Roman" w:hAnsi="Times New Roman" w:cs="Times New Roman"/>
              </w:rPr>
              <w:t>Enhances gut microbial diversity, increases beneficial bacteria like Lactobacillus.</w:t>
            </w:r>
          </w:p>
        </w:tc>
        <w:tc>
          <w:tcPr>
            <w:tcW w:w="0" w:type="auto"/>
            <w:hideMark/>
          </w:tcPr>
          <w:p w14:paraId="1005B2BE" w14:textId="77777777" w:rsidR="00B72E73" w:rsidRPr="00A04BF7" w:rsidRDefault="00B72E73" w:rsidP="00AD11EB">
            <w:pPr>
              <w:spacing w:line="360" w:lineRule="auto"/>
              <w:jc w:val="center"/>
              <w:rPr>
                <w:rFonts w:ascii="Times New Roman" w:hAnsi="Times New Roman" w:cs="Times New Roman"/>
              </w:rPr>
            </w:pPr>
            <w:r w:rsidRPr="00A04BF7">
              <w:rPr>
                <w:rFonts w:ascii="Times New Roman" w:hAnsi="Times New Roman" w:cs="Times New Roman"/>
              </w:rPr>
              <w:t>Supports ocular surface health, potentially modulating inflammation.</w:t>
            </w:r>
          </w:p>
        </w:tc>
        <w:tc>
          <w:tcPr>
            <w:tcW w:w="0" w:type="auto"/>
            <w:hideMark/>
          </w:tcPr>
          <w:p w14:paraId="45A6E9C1" w14:textId="5025FBFD" w:rsidR="00B72E73" w:rsidRPr="00A04BF7" w:rsidRDefault="00BA52AA" w:rsidP="00AD11EB">
            <w:pPr>
              <w:rPr>
                <w:rFonts w:ascii="Times New Roman" w:hAnsi="Times New Roman" w:cs="Times New Roman"/>
              </w:rPr>
            </w:pPr>
            <w:r>
              <w:rPr>
                <w:rFonts w:ascii="Times New Roman" w:hAnsi="Times New Roman" w:cs="Times New Roman"/>
              </w:rPr>
              <w:t>[60]</w:t>
            </w:r>
          </w:p>
        </w:tc>
      </w:tr>
      <w:tr w:rsidR="00B72E73" w:rsidRPr="00A04BF7" w14:paraId="76014C54" w14:textId="77777777" w:rsidTr="00AD11EB">
        <w:tc>
          <w:tcPr>
            <w:tcW w:w="0" w:type="auto"/>
            <w:hideMark/>
          </w:tcPr>
          <w:p w14:paraId="705FC546" w14:textId="77777777" w:rsidR="00B72E73" w:rsidRPr="00A04BF7" w:rsidRDefault="00B72E73" w:rsidP="00AD11EB">
            <w:pPr>
              <w:spacing w:line="360" w:lineRule="auto"/>
              <w:jc w:val="center"/>
              <w:rPr>
                <w:rFonts w:ascii="Times New Roman" w:hAnsi="Times New Roman" w:cs="Times New Roman"/>
              </w:rPr>
            </w:pPr>
            <w:r w:rsidRPr="00A04BF7">
              <w:rPr>
                <w:rFonts w:ascii="Times New Roman" w:hAnsi="Times New Roman" w:cs="Times New Roman"/>
              </w:rPr>
              <w:t>Polyphenol-Rich Diet Examples: berries, dark chocolate, green tea, nuts.</w:t>
            </w:r>
          </w:p>
        </w:tc>
        <w:tc>
          <w:tcPr>
            <w:tcW w:w="0" w:type="auto"/>
            <w:hideMark/>
          </w:tcPr>
          <w:p w14:paraId="251FF037" w14:textId="77777777" w:rsidR="00B72E73" w:rsidRPr="00A04BF7" w:rsidRDefault="00B72E73" w:rsidP="00AD11EB">
            <w:pPr>
              <w:spacing w:line="360" w:lineRule="auto"/>
              <w:jc w:val="center"/>
              <w:rPr>
                <w:rFonts w:ascii="Times New Roman" w:hAnsi="Times New Roman" w:cs="Times New Roman"/>
              </w:rPr>
            </w:pPr>
            <w:r w:rsidRPr="00A04BF7">
              <w:rPr>
                <w:rFonts w:ascii="Times New Roman" w:hAnsi="Times New Roman" w:cs="Times New Roman"/>
              </w:rPr>
              <w:t xml:space="preserve">Increases beneficial microbes like </w:t>
            </w:r>
            <w:proofErr w:type="spellStart"/>
            <w:r w:rsidRPr="00A04BF7">
              <w:rPr>
                <w:rFonts w:ascii="Times New Roman" w:hAnsi="Times New Roman" w:cs="Times New Roman"/>
              </w:rPr>
              <w:t>Akkermansia</w:t>
            </w:r>
            <w:proofErr w:type="spellEnd"/>
            <w:r w:rsidRPr="00A04BF7">
              <w:rPr>
                <w:rFonts w:ascii="Times New Roman" w:hAnsi="Times New Roman" w:cs="Times New Roman"/>
              </w:rPr>
              <w:t>, enhances SCFA production.</w:t>
            </w:r>
          </w:p>
        </w:tc>
        <w:tc>
          <w:tcPr>
            <w:tcW w:w="0" w:type="auto"/>
            <w:hideMark/>
          </w:tcPr>
          <w:p w14:paraId="554F231B" w14:textId="77777777" w:rsidR="00B72E73" w:rsidRPr="00A04BF7" w:rsidRDefault="00B72E73" w:rsidP="00AD11EB">
            <w:pPr>
              <w:spacing w:line="360" w:lineRule="auto"/>
              <w:jc w:val="center"/>
              <w:rPr>
                <w:rFonts w:ascii="Times New Roman" w:hAnsi="Times New Roman" w:cs="Times New Roman"/>
              </w:rPr>
            </w:pPr>
            <w:r w:rsidRPr="00A04BF7">
              <w:rPr>
                <w:rFonts w:ascii="Times New Roman" w:hAnsi="Times New Roman" w:cs="Times New Roman"/>
              </w:rPr>
              <w:t>May influence ocular immunity by reducing oxidative stress.</w:t>
            </w:r>
          </w:p>
        </w:tc>
        <w:tc>
          <w:tcPr>
            <w:tcW w:w="0" w:type="auto"/>
            <w:hideMark/>
          </w:tcPr>
          <w:p w14:paraId="58029454" w14:textId="5BE18E7A" w:rsidR="00B72E73" w:rsidRPr="00A04BF7" w:rsidRDefault="00F60F07" w:rsidP="00AD11EB">
            <w:pPr>
              <w:rPr>
                <w:rFonts w:ascii="Times New Roman" w:hAnsi="Times New Roman" w:cs="Times New Roman"/>
              </w:rPr>
            </w:pPr>
            <w:r>
              <w:rPr>
                <w:rFonts w:ascii="Times New Roman" w:hAnsi="Times New Roman" w:cs="Times New Roman"/>
              </w:rPr>
              <w:t>[61]</w:t>
            </w:r>
          </w:p>
        </w:tc>
      </w:tr>
      <w:tr w:rsidR="00B72E73" w:rsidRPr="00A04BF7" w14:paraId="363283B8" w14:textId="77777777" w:rsidTr="00AD11EB">
        <w:trPr>
          <w:trHeight w:val="58"/>
        </w:trPr>
        <w:tc>
          <w:tcPr>
            <w:tcW w:w="0" w:type="auto"/>
            <w:hideMark/>
          </w:tcPr>
          <w:p w14:paraId="2ADA2F59" w14:textId="77777777" w:rsidR="00B72E73" w:rsidRPr="00A04BF7" w:rsidRDefault="00B72E73" w:rsidP="00AD11EB">
            <w:pPr>
              <w:spacing w:line="360" w:lineRule="auto"/>
              <w:jc w:val="center"/>
              <w:rPr>
                <w:rFonts w:ascii="Times New Roman" w:hAnsi="Times New Roman" w:cs="Times New Roman"/>
              </w:rPr>
            </w:pPr>
            <w:r w:rsidRPr="00A04BF7">
              <w:rPr>
                <w:rFonts w:ascii="Times New Roman" w:hAnsi="Times New Roman" w:cs="Times New Roman"/>
              </w:rPr>
              <w:t>Sugar- and Processed Food-Heavy Diet Examples: sugary snacks, sodas, refined carbs.</w:t>
            </w:r>
          </w:p>
        </w:tc>
        <w:tc>
          <w:tcPr>
            <w:tcW w:w="0" w:type="auto"/>
            <w:hideMark/>
          </w:tcPr>
          <w:p w14:paraId="0F57347D" w14:textId="77777777" w:rsidR="00B72E73" w:rsidRPr="00A04BF7" w:rsidRDefault="00B72E73" w:rsidP="00AD11EB">
            <w:pPr>
              <w:spacing w:line="360" w:lineRule="auto"/>
              <w:jc w:val="center"/>
              <w:rPr>
                <w:rFonts w:ascii="Times New Roman" w:hAnsi="Times New Roman" w:cs="Times New Roman"/>
              </w:rPr>
            </w:pPr>
            <w:r w:rsidRPr="00A04BF7">
              <w:rPr>
                <w:rFonts w:ascii="Times New Roman" w:hAnsi="Times New Roman" w:cs="Times New Roman"/>
              </w:rPr>
              <w:t>Leads to microbial imbalance, reducing microbial diversity and increasing pathogenic bacteria.</w:t>
            </w:r>
          </w:p>
        </w:tc>
        <w:tc>
          <w:tcPr>
            <w:tcW w:w="0" w:type="auto"/>
            <w:hideMark/>
          </w:tcPr>
          <w:p w14:paraId="1F855A02" w14:textId="77777777" w:rsidR="00B72E73" w:rsidRPr="00A04BF7" w:rsidRDefault="00B72E73" w:rsidP="00AD11EB">
            <w:pPr>
              <w:spacing w:line="360" w:lineRule="auto"/>
              <w:jc w:val="center"/>
              <w:rPr>
                <w:rFonts w:ascii="Times New Roman" w:hAnsi="Times New Roman" w:cs="Times New Roman"/>
              </w:rPr>
            </w:pPr>
            <w:r w:rsidRPr="00A04BF7">
              <w:rPr>
                <w:rFonts w:ascii="Times New Roman" w:hAnsi="Times New Roman" w:cs="Times New Roman"/>
              </w:rPr>
              <w:t>Can disrupt ocular microbiota, promoting dry eye symptoms and inflammation.</w:t>
            </w:r>
          </w:p>
        </w:tc>
        <w:tc>
          <w:tcPr>
            <w:tcW w:w="0" w:type="auto"/>
            <w:hideMark/>
          </w:tcPr>
          <w:p w14:paraId="59DAB3D9" w14:textId="29F0AE27" w:rsidR="00B72E73" w:rsidRPr="00A04BF7" w:rsidRDefault="00830757" w:rsidP="00AD11EB">
            <w:pPr>
              <w:spacing w:line="360" w:lineRule="auto"/>
              <w:rPr>
                <w:rFonts w:ascii="Times New Roman" w:hAnsi="Times New Roman" w:cs="Times New Roman"/>
              </w:rPr>
            </w:pPr>
            <w:r>
              <w:rPr>
                <w:rFonts w:ascii="Times New Roman" w:hAnsi="Times New Roman" w:cs="Times New Roman"/>
              </w:rPr>
              <w:t>[62]</w:t>
            </w:r>
          </w:p>
        </w:tc>
      </w:tr>
    </w:tbl>
    <w:p w14:paraId="0F9CA598" w14:textId="77777777" w:rsidR="003D3D96" w:rsidRDefault="003D3D96" w:rsidP="00DB363A">
      <w:pPr>
        <w:pStyle w:val="ListParagraph"/>
        <w:widowControl/>
        <w:autoSpaceDE/>
        <w:autoSpaceDN/>
        <w:spacing w:after="160" w:line="276" w:lineRule="auto"/>
        <w:ind w:left="0" w:firstLine="0"/>
        <w:contextualSpacing/>
        <w:rPr>
          <w:rFonts w:ascii="Times" w:hAnsi="Times"/>
        </w:rPr>
      </w:pPr>
    </w:p>
    <w:p w14:paraId="16B7C7D8" w14:textId="77777777" w:rsidR="00B72E73" w:rsidRDefault="00B72E73" w:rsidP="00DB363A">
      <w:pPr>
        <w:pStyle w:val="ListParagraph"/>
        <w:widowControl/>
        <w:autoSpaceDE/>
        <w:autoSpaceDN/>
        <w:spacing w:after="160" w:line="276" w:lineRule="auto"/>
        <w:ind w:left="0" w:firstLine="0"/>
        <w:contextualSpacing/>
        <w:rPr>
          <w:rFonts w:ascii="Times" w:hAnsi="Times"/>
        </w:rPr>
      </w:pPr>
    </w:p>
    <w:p w14:paraId="10D6A721" w14:textId="77777777" w:rsidR="00C0793C" w:rsidRDefault="00C0793C" w:rsidP="00DB363A">
      <w:pPr>
        <w:pStyle w:val="ListParagraph"/>
        <w:spacing w:after="160" w:line="276" w:lineRule="auto"/>
        <w:ind w:left="0" w:firstLine="0"/>
        <w:contextualSpacing/>
        <w:rPr>
          <w:rFonts w:ascii="Times" w:hAnsi="Times"/>
          <w:b/>
          <w:color w:val="2E74B5" w:themeColor="accent5" w:themeShade="BF"/>
        </w:rPr>
        <w:sectPr w:rsidR="00C0793C" w:rsidSect="00C0793C">
          <w:type w:val="continuous"/>
          <w:pgSz w:w="11906" w:h="16838" w:code="9"/>
          <w:pgMar w:top="851" w:right="851" w:bottom="851" w:left="851" w:header="720" w:footer="0" w:gutter="0"/>
          <w:cols w:space="386"/>
          <w:docGrid w:linePitch="360"/>
        </w:sectPr>
      </w:pPr>
    </w:p>
    <w:p w14:paraId="7A499D11" w14:textId="543D3E2F" w:rsidR="003D3D96" w:rsidRPr="008025AD" w:rsidRDefault="003D3D96" w:rsidP="00DB363A">
      <w:pPr>
        <w:pStyle w:val="ListParagraph"/>
        <w:spacing w:after="160" w:line="276" w:lineRule="auto"/>
        <w:ind w:left="0" w:firstLine="0"/>
        <w:contextualSpacing/>
        <w:rPr>
          <w:rFonts w:ascii="Times" w:hAnsi="Times"/>
          <w:b/>
          <w:color w:val="0070C0"/>
        </w:rPr>
      </w:pPr>
      <w:r w:rsidRPr="008025AD">
        <w:rPr>
          <w:rFonts w:ascii="Times" w:hAnsi="Times"/>
          <w:b/>
          <w:color w:val="0070C0"/>
        </w:rPr>
        <w:t xml:space="preserve">6. </w:t>
      </w:r>
      <w:r w:rsidR="005F1697" w:rsidRPr="008025AD">
        <w:rPr>
          <w:b/>
          <w:bCs/>
          <w:color w:val="0070C0"/>
        </w:rPr>
        <w:t>NUTRITION AND ITS IMPACT ON THE MICROBIOMES</w:t>
      </w:r>
    </w:p>
    <w:p w14:paraId="751B9C0B" w14:textId="1D28961D" w:rsidR="003D3D96" w:rsidRPr="008025AD" w:rsidRDefault="003D3D96" w:rsidP="003A05B3">
      <w:pPr>
        <w:pStyle w:val="ListParagraph"/>
        <w:spacing w:after="160"/>
        <w:ind w:left="0" w:firstLine="0"/>
        <w:contextualSpacing/>
        <w:rPr>
          <w:rFonts w:ascii="Times" w:hAnsi="Times"/>
          <w:b/>
          <w:color w:val="0070C0"/>
        </w:rPr>
      </w:pPr>
      <w:r w:rsidRPr="008025AD">
        <w:rPr>
          <w:rFonts w:ascii="Times" w:hAnsi="Times"/>
          <w:b/>
          <w:color w:val="0070C0"/>
        </w:rPr>
        <w:t xml:space="preserve">6.1 </w:t>
      </w:r>
      <w:r w:rsidR="005F1697" w:rsidRPr="008025AD">
        <w:rPr>
          <w:b/>
          <w:bCs/>
          <w:color w:val="0070C0"/>
        </w:rPr>
        <w:t>Role of Diet in the Composition of Gut and Ocular Microbiota</w:t>
      </w:r>
    </w:p>
    <w:p w14:paraId="3ECD8300" w14:textId="2A60DF0F" w:rsidR="003A05B3" w:rsidRPr="00A04BF7" w:rsidRDefault="003A05B3" w:rsidP="003A05B3">
      <w:pPr>
        <w:spacing w:line="240" w:lineRule="auto"/>
        <w:jc w:val="both"/>
        <w:rPr>
          <w:rFonts w:ascii="Times New Roman" w:hAnsi="Times New Roman" w:cs="Times New Roman"/>
        </w:rPr>
      </w:pPr>
      <w:r>
        <w:rPr>
          <w:rStyle w:val="cursor-pointer"/>
          <w:rFonts w:ascii="Geist Fallback" w:hAnsi="Geist Fallback"/>
          <w:sz w:val="23"/>
          <w:szCs w:val="23"/>
        </w:rPr>
        <w:t>Gut and ocular microbiomes composition and functions are influenced by nutrition.</w:t>
      </w:r>
      <w:r>
        <w:rPr>
          <w:rFonts w:ascii="Geist Fallback" w:hAnsi="Geist Fallback"/>
          <w:sz w:val="23"/>
          <w:szCs w:val="23"/>
        </w:rPr>
        <w:t xml:space="preserve"> </w:t>
      </w:r>
      <w:r>
        <w:rPr>
          <w:rStyle w:val="cursor-pointer"/>
          <w:rFonts w:ascii="Geist Fallback" w:hAnsi="Geist Fallback"/>
          <w:sz w:val="23"/>
          <w:szCs w:val="23"/>
        </w:rPr>
        <w:t>Diet is the crucial supply source for nutrients required by humans for good health, but diet is also the most important substrates needed for the growth and activities of the microbial community on ocular surface and gastrointestinal tract.</w:t>
      </w:r>
      <w:r>
        <w:rPr>
          <w:rFonts w:ascii="Geist Fallback" w:hAnsi="Geist Fallback"/>
          <w:sz w:val="23"/>
          <w:szCs w:val="23"/>
        </w:rPr>
        <w:t xml:space="preserve"> </w:t>
      </w:r>
      <w:r>
        <w:rPr>
          <w:rStyle w:val="cursor-pointer"/>
          <w:rFonts w:ascii="Geist Fallback" w:hAnsi="Geist Fallback"/>
          <w:sz w:val="23"/>
          <w:szCs w:val="23"/>
        </w:rPr>
        <w:t xml:space="preserve">The effects of the diet on the microbiome are mediated by certain components of the diet such as </w:t>
      </w:r>
      <w:proofErr w:type="spellStart"/>
      <w:r>
        <w:rPr>
          <w:rStyle w:val="cursor-pointer"/>
          <w:rFonts w:ascii="Geist Fallback" w:hAnsi="Geist Fallback"/>
          <w:sz w:val="23"/>
          <w:szCs w:val="23"/>
        </w:rPr>
        <w:t>fibre</w:t>
      </w:r>
      <w:proofErr w:type="spellEnd"/>
      <w:r>
        <w:rPr>
          <w:rStyle w:val="cursor-pointer"/>
          <w:rFonts w:ascii="Geist Fallback" w:hAnsi="Geist Fallback"/>
          <w:sz w:val="23"/>
          <w:szCs w:val="23"/>
        </w:rPr>
        <w:t>, fat, protein, vitamins and minerals.</w:t>
      </w:r>
      <w:r>
        <w:rPr>
          <w:rFonts w:ascii="Geist Fallback" w:hAnsi="Geist Fallback"/>
          <w:sz w:val="23"/>
          <w:szCs w:val="23"/>
        </w:rPr>
        <w:t xml:space="preserve"> </w:t>
      </w:r>
      <w:r w:rsidR="008F33F6">
        <w:rPr>
          <w:rFonts w:ascii="Geist Fallback" w:hAnsi="Geist Fallback"/>
          <w:sz w:val="23"/>
          <w:szCs w:val="23"/>
        </w:rPr>
        <w:t>[63]</w:t>
      </w:r>
      <w:r w:rsidR="00E15004">
        <w:rPr>
          <w:rFonts w:ascii="Geist Fallback" w:hAnsi="Geist Fallback"/>
          <w:sz w:val="23"/>
          <w:szCs w:val="23"/>
        </w:rPr>
        <w:t xml:space="preserve">. </w:t>
      </w:r>
      <w:r>
        <w:rPr>
          <w:rStyle w:val="cursor-pointer"/>
          <w:rFonts w:ascii="Geist Fallback" w:hAnsi="Geist Fallback"/>
          <w:sz w:val="23"/>
          <w:szCs w:val="23"/>
        </w:rPr>
        <w:t>These components modulate diversity and metabolic activity in the microorganisms and balance between various microorganisms in general-</w:t>
      </w:r>
      <w:proofErr w:type="spellStart"/>
      <w:r>
        <w:rPr>
          <w:rStyle w:val="cursor-pointer"/>
          <w:rFonts w:ascii="Geist Fallback" w:hAnsi="Geist Fallback"/>
          <w:sz w:val="23"/>
          <w:szCs w:val="23"/>
        </w:rPr>
        <w:t>eubiosis</w:t>
      </w:r>
      <w:proofErr w:type="spellEnd"/>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The changes in the body, due to dietary changes, also impact the ocular microbiome, as the shifts in the body may manifest in the form of the populations of microbes and their metabolism at the ocular surface, which will impact the health of the eye (Table 2).</w:t>
      </w:r>
      <w:r>
        <w:rPr>
          <w:rFonts w:ascii="Geist Fallback" w:hAnsi="Geist Fallback"/>
          <w:sz w:val="23"/>
          <w:szCs w:val="23"/>
        </w:rPr>
        <w:t xml:space="preserve"> </w:t>
      </w:r>
      <w:r>
        <w:rPr>
          <w:rStyle w:val="cursor-pointer"/>
          <w:rFonts w:ascii="Geist Fallback" w:hAnsi="Geist Fallback"/>
          <w:sz w:val="23"/>
          <w:szCs w:val="23"/>
        </w:rPr>
        <w:t>An ever-growing collection of evidence is emerging that demonstrates how a diet imbalance, whether due to overconsumption of processed foods, excess sugars or unhealthy fats, can lead to dysbiosis, or an imbalance of beneficial microbes and pathogenic microbes.</w:t>
      </w:r>
      <w:r>
        <w:rPr>
          <w:rFonts w:ascii="Geist Fallback" w:hAnsi="Geist Fallback"/>
          <w:sz w:val="23"/>
          <w:szCs w:val="23"/>
        </w:rPr>
        <w:t xml:space="preserve"> </w:t>
      </w:r>
      <w:r w:rsidR="006A09E8">
        <w:rPr>
          <w:rFonts w:ascii="Geist Fallback" w:hAnsi="Geist Fallback"/>
          <w:sz w:val="23"/>
          <w:szCs w:val="23"/>
        </w:rPr>
        <w:t>[64]</w:t>
      </w:r>
      <w:r>
        <w:rPr>
          <w:rFonts w:ascii="Geist Fallback" w:hAnsi="Geist Fallback"/>
          <w:sz w:val="23"/>
          <w:szCs w:val="23"/>
        </w:rPr>
        <w:t>.</w:t>
      </w:r>
      <w:r w:rsidR="006A09E8">
        <w:rPr>
          <w:rFonts w:ascii="Geist Fallback" w:hAnsi="Geist Fallback"/>
          <w:sz w:val="23"/>
          <w:szCs w:val="23"/>
        </w:rPr>
        <w:t xml:space="preserve"> </w:t>
      </w:r>
      <w:r>
        <w:rPr>
          <w:rStyle w:val="cursor-pointer"/>
          <w:rFonts w:ascii="Geist Fallback" w:hAnsi="Geist Fallback"/>
          <w:sz w:val="23"/>
          <w:szCs w:val="23"/>
        </w:rPr>
        <w:t xml:space="preserve">Dysbiosis has been associated with the presence of numerous systemic diseases including obesity, metabolic disease, autoimmune </w:t>
      </w:r>
      <w:r>
        <w:rPr>
          <w:rStyle w:val="cursor-pointer"/>
          <w:rFonts w:ascii="Geist Fallback" w:hAnsi="Geist Fallback"/>
          <w:sz w:val="23"/>
          <w:szCs w:val="23"/>
        </w:rPr>
        <w:t>disease and inflammatory disease like Dry Eye Disease (DED).</w:t>
      </w:r>
      <w:r w:rsidR="004F71AA">
        <w:rPr>
          <w:rStyle w:val="cursor-pointer"/>
          <w:rFonts w:ascii="Geist Fallback" w:hAnsi="Geist Fallback"/>
          <w:sz w:val="23"/>
          <w:szCs w:val="23"/>
        </w:rPr>
        <w:t xml:space="preserve"> </w:t>
      </w:r>
      <w:r>
        <w:rPr>
          <w:rStyle w:val="cursor-pointer"/>
          <w:rFonts w:ascii="Geist Fallback" w:hAnsi="Geist Fallback"/>
          <w:sz w:val="23"/>
          <w:szCs w:val="23"/>
        </w:rPr>
        <w:t>This also relates to the connection between gut and ocular health.</w:t>
      </w:r>
      <w:r>
        <w:rPr>
          <w:rFonts w:ascii="Geist Fallback" w:hAnsi="Geist Fallback"/>
          <w:sz w:val="23"/>
          <w:szCs w:val="23"/>
        </w:rPr>
        <w:t xml:space="preserve"> </w:t>
      </w:r>
      <w:r>
        <w:rPr>
          <w:rStyle w:val="cursor-pointer"/>
          <w:rFonts w:ascii="Geist Fallback" w:hAnsi="Geist Fallback"/>
          <w:sz w:val="23"/>
          <w:szCs w:val="23"/>
        </w:rPr>
        <w:t>Gut microbial dysbiosis may affect distant organs, like the eyes, through changes in the immune system, inflammation and disease outcome.</w:t>
      </w:r>
      <w:r>
        <w:rPr>
          <w:rFonts w:ascii="Geist Fallback" w:hAnsi="Geist Fallback"/>
          <w:sz w:val="23"/>
          <w:szCs w:val="23"/>
        </w:rPr>
        <w:t xml:space="preserve"> </w:t>
      </w:r>
      <w:r>
        <w:rPr>
          <w:rStyle w:val="cursor-pointer"/>
          <w:rFonts w:ascii="Geist Fallback" w:hAnsi="Geist Fallback"/>
          <w:sz w:val="23"/>
          <w:szCs w:val="23"/>
        </w:rPr>
        <w:t>Thus, a balanced diet can be important in ensuring that there is gut health as well as ocular health.</w:t>
      </w:r>
      <w:r>
        <w:rPr>
          <w:rFonts w:ascii="Geist Fallback" w:hAnsi="Geist Fallback"/>
          <w:sz w:val="23"/>
          <w:szCs w:val="23"/>
        </w:rPr>
        <w:t xml:space="preserve"> </w:t>
      </w:r>
      <w:r w:rsidR="003C16AC">
        <w:rPr>
          <w:rFonts w:ascii="Geist Fallback" w:hAnsi="Geist Fallback"/>
          <w:sz w:val="23"/>
          <w:szCs w:val="23"/>
        </w:rPr>
        <w:t>[65]</w:t>
      </w:r>
      <w:r>
        <w:rPr>
          <w:rFonts w:ascii="Geist Fallback" w:hAnsi="Geist Fallback"/>
          <w:sz w:val="23"/>
          <w:szCs w:val="23"/>
        </w:rPr>
        <w:t xml:space="preserve">. </w:t>
      </w:r>
      <w:r>
        <w:rPr>
          <w:rStyle w:val="cursor-pointer"/>
          <w:rFonts w:ascii="Geist Fallback" w:hAnsi="Geist Fallback"/>
          <w:sz w:val="23"/>
          <w:szCs w:val="23"/>
        </w:rPr>
        <w:t>Systemic Immune responses are affected by diet which will influence the ocular microbiota.</w:t>
      </w:r>
      <w:r>
        <w:rPr>
          <w:rFonts w:ascii="Geist Fallback" w:hAnsi="Geist Fallback"/>
          <w:sz w:val="23"/>
          <w:szCs w:val="23"/>
        </w:rPr>
        <w:t xml:space="preserve"> </w:t>
      </w:r>
      <w:r>
        <w:rPr>
          <w:rStyle w:val="cursor-pointer"/>
          <w:rFonts w:ascii="Geist Fallback" w:hAnsi="Geist Fallback"/>
          <w:sz w:val="23"/>
          <w:szCs w:val="23"/>
        </w:rPr>
        <w:t>A healthy balance of bacteria on the eye surface can be maintained through a healthy balanced diet that includes adequate fiber intake and antioxidants and anti-inflammatory foods.</w:t>
      </w:r>
      <w:r>
        <w:rPr>
          <w:rFonts w:ascii="Geist Fallback" w:hAnsi="Geist Fallback"/>
          <w:sz w:val="23"/>
          <w:szCs w:val="23"/>
        </w:rPr>
        <w:t xml:space="preserve"> </w:t>
      </w:r>
      <w:r>
        <w:rPr>
          <w:rStyle w:val="cursor-pointer"/>
          <w:rFonts w:ascii="Geist Fallback" w:hAnsi="Geist Fallback"/>
          <w:sz w:val="23"/>
          <w:szCs w:val="23"/>
        </w:rPr>
        <w:t xml:space="preserve">The intake of fruits and vegetables and whole-grains </w:t>
      </w:r>
      <w:proofErr w:type="gramStart"/>
      <w:r>
        <w:rPr>
          <w:rStyle w:val="cursor-pointer"/>
          <w:rFonts w:ascii="Geist Fallback" w:hAnsi="Geist Fallback"/>
          <w:sz w:val="23"/>
          <w:szCs w:val="23"/>
        </w:rPr>
        <w:t>supports</w:t>
      </w:r>
      <w:proofErr w:type="gramEnd"/>
      <w:r>
        <w:rPr>
          <w:rStyle w:val="cursor-pointer"/>
          <w:rFonts w:ascii="Geist Fallback" w:hAnsi="Geist Fallback"/>
          <w:sz w:val="23"/>
          <w:szCs w:val="23"/>
        </w:rPr>
        <w:t xml:space="preserve"> the growth of lactobacilli and bifidobacteria that help control inflammation and the immune system.</w:t>
      </w:r>
      <w:r>
        <w:rPr>
          <w:rFonts w:ascii="Geist Fallback" w:hAnsi="Geist Fallback"/>
          <w:sz w:val="23"/>
          <w:szCs w:val="23"/>
        </w:rPr>
        <w:t xml:space="preserve"> </w:t>
      </w:r>
      <w:r w:rsidR="00C15203">
        <w:rPr>
          <w:rFonts w:ascii="Geist Fallback" w:hAnsi="Geist Fallback"/>
          <w:sz w:val="23"/>
          <w:szCs w:val="23"/>
        </w:rPr>
        <w:t>[66]</w:t>
      </w:r>
      <w:r>
        <w:rPr>
          <w:rFonts w:ascii="Geist Fallback" w:hAnsi="Geist Fallback"/>
          <w:sz w:val="23"/>
          <w:szCs w:val="23"/>
        </w:rPr>
        <w:t>.</w:t>
      </w:r>
      <w:r w:rsidR="00593734">
        <w:rPr>
          <w:rFonts w:ascii="Geist Fallback" w:hAnsi="Geist Fallback"/>
          <w:sz w:val="23"/>
          <w:szCs w:val="23"/>
        </w:rPr>
        <w:t xml:space="preserve"> </w:t>
      </w:r>
      <w:r>
        <w:rPr>
          <w:rStyle w:val="cursor-pointer"/>
          <w:rFonts w:ascii="Geist Fallback" w:hAnsi="Geist Fallback"/>
          <w:sz w:val="23"/>
          <w:szCs w:val="23"/>
        </w:rPr>
        <w:t>Conversely, high diets that include processed foods, sugars and trans fats promote pro-inflammatory bacteria, which may aggravate the disease, such as DED, and numerous other diseases associated with the ocular surface.</w:t>
      </w:r>
    </w:p>
    <w:p w14:paraId="7129BAFC" w14:textId="77777777" w:rsidR="00B44E55" w:rsidRPr="005941FF" w:rsidRDefault="00B44E55" w:rsidP="00DB363A">
      <w:pPr>
        <w:pStyle w:val="ListParagraph"/>
        <w:spacing w:after="160" w:line="276" w:lineRule="auto"/>
        <w:ind w:left="0" w:firstLine="0"/>
        <w:contextualSpacing/>
        <w:rPr>
          <w:rFonts w:ascii="Times" w:hAnsi="Times"/>
        </w:rPr>
      </w:pPr>
    </w:p>
    <w:p w14:paraId="6221297D" w14:textId="58FC432A" w:rsidR="00227906" w:rsidRPr="00462934" w:rsidRDefault="005941FF" w:rsidP="0067707E">
      <w:pPr>
        <w:pStyle w:val="ListParagraph"/>
        <w:spacing w:after="160" w:line="276" w:lineRule="auto"/>
        <w:ind w:left="0" w:firstLine="0"/>
        <w:contextualSpacing/>
        <w:rPr>
          <w:b/>
          <w:bCs/>
          <w:color w:val="0070C0"/>
        </w:rPr>
      </w:pPr>
      <w:r w:rsidRPr="00462934">
        <w:rPr>
          <w:rFonts w:ascii="Times" w:hAnsi="Times"/>
          <w:b/>
          <w:color w:val="0070C0"/>
        </w:rPr>
        <w:t xml:space="preserve">6.2 </w:t>
      </w:r>
      <w:r w:rsidR="00227906" w:rsidRPr="00462934">
        <w:rPr>
          <w:b/>
          <w:bCs/>
          <w:color w:val="0070C0"/>
        </w:rPr>
        <w:t xml:space="preserve">Nutrients Involved in Gut Microbial </w:t>
      </w:r>
      <w:proofErr w:type="spellStart"/>
      <w:r w:rsidR="00227906" w:rsidRPr="00462934">
        <w:rPr>
          <w:b/>
          <w:bCs/>
          <w:color w:val="0070C0"/>
        </w:rPr>
        <w:t>Eubiosis</w:t>
      </w:r>
      <w:proofErr w:type="spellEnd"/>
      <w:r w:rsidR="00227906" w:rsidRPr="00462934">
        <w:rPr>
          <w:b/>
          <w:bCs/>
          <w:color w:val="0070C0"/>
        </w:rPr>
        <w:t xml:space="preserve"> and Eye Health</w:t>
      </w:r>
    </w:p>
    <w:p w14:paraId="00EC2852" w14:textId="5E39ECF9" w:rsidR="005941FF" w:rsidRDefault="00227906" w:rsidP="00227906">
      <w:pPr>
        <w:pStyle w:val="ListParagraph"/>
        <w:spacing w:after="160" w:line="276" w:lineRule="auto"/>
        <w:ind w:left="0" w:firstLine="0"/>
        <w:contextualSpacing/>
        <w:rPr>
          <w:rFonts w:ascii="Times" w:hAnsi="Times"/>
          <w:color w:val="4472C4" w:themeColor="accent1"/>
        </w:rPr>
      </w:pPr>
      <w:r>
        <w:rPr>
          <w:rStyle w:val="cursor-pointer"/>
          <w:rFonts w:ascii="Geist Fallback" w:hAnsi="Geist Fallback"/>
          <w:sz w:val="23"/>
          <w:szCs w:val="23"/>
        </w:rPr>
        <w:t xml:space="preserve">External eye disease Nevertheless, maintenance of </w:t>
      </w:r>
      <w:proofErr w:type="spellStart"/>
      <w:r>
        <w:rPr>
          <w:rStyle w:val="cursor-pointer"/>
          <w:rFonts w:ascii="Geist Fallback" w:hAnsi="Geist Fallback"/>
          <w:sz w:val="23"/>
          <w:szCs w:val="23"/>
        </w:rPr>
        <w:t>eubiosis</w:t>
      </w:r>
      <w:proofErr w:type="spellEnd"/>
      <w:r>
        <w:rPr>
          <w:rStyle w:val="cursor-pointer"/>
          <w:rFonts w:ascii="Geist Fallback" w:hAnsi="Geist Fallback"/>
          <w:sz w:val="23"/>
          <w:szCs w:val="23"/>
        </w:rPr>
        <w:t>, or balance of gut microbes is important for both gut health as well as systemic immune function including that to the eye.</w:t>
      </w:r>
      <w:r>
        <w:rPr>
          <w:rFonts w:ascii="Geist Fallback" w:hAnsi="Geist Fallback"/>
          <w:sz w:val="23"/>
          <w:szCs w:val="23"/>
        </w:rPr>
        <w:t xml:space="preserve"> </w:t>
      </w:r>
      <w:r>
        <w:rPr>
          <w:rStyle w:val="cursor-pointer"/>
          <w:rFonts w:ascii="Geist Fallback" w:hAnsi="Geist Fallback"/>
          <w:sz w:val="23"/>
          <w:szCs w:val="23"/>
        </w:rPr>
        <w:t xml:space="preserve">There are several nutrients that have direct or indirect effects on gut microbial </w:t>
      </w:r>
      <w:proofErr w:type="spellStart"/>
      <w:r>
        <w:rPr>
          <w:rStyle w:val="cursor-pointer"/>
          <w:rFonts w:ascii="Geist Fallback" w:hAnsi="Geist Fallback"/>
          <w:sz w:val="23"/>
          <w:szCs w:val="23"/>
        </w:rPr>
        <w:lastRenderedPageBreak/>
        <w:t>eubiosis</w:t>
      </w:r>
      <w:proofErr w:type="spellEnd"/>
      <w:r>
        <w:rPr>
          <w:rStyle w:val="cursor-pointer"/>
          <w:rFonts w:ascii="Geist Fallback" w:hAnsi="Geist Fallback"/>
          <w:sz w:val="23"/>
          <w:szCs w:val="23"/>
        </w:rPr>
        <w:t xml:space="preserve"> (which has an influence on GI health) and immune-mediated control of inflammation that may ultimately impact the ocular surface.</w:t>
      </w:r>
      <w:r>
        <w:rPr>
          <w:rFonts w:ascii="Geist Fallback" w:hAnsi="Geist Fallback"/>
          <w:sz w:val="23"/>
          <w:szCs w:val="23"/>
        </w:rPr>
        <w:t xml:space="preserve"> </w:t>
      </w:r>
      <w:r w:rsidR="005B05AD">
        <w:rPr>
          <w:rFonts w:ascii="Geist Fallback" w:hAnsi="Geist Fallback"/>
          <w:sz w:val="23"/>
          <w:szCs w:val="23"/>
        </w:rPr>
        <w:t>[67]</w:t>
      </w:r>
      <w:r>
        <w:rPr>
          <w:rFonts w:ascii="Geist Fallback" w:hAnsi="Geist Fallback"/>
          <w:sz w:val="23"/>
          <w:szCs w:val="23"/>
        </w:rPr>
        <w:t xml:space="preserve">. </w:t>
      </w:r>
      <w:r>
        <w:rPr>
          <w:rStyle w:val="cursor-pointer"/>
          <w:rFonts w:ascii="Geist Fallback" w:hAnsi="Geist Fallback"/>
          <w:sz w:val="23"/>
          <w:szCs w:val="23"/>
        </w:rPr>
        <w:t>All of these nutrient components are key to a healthy microbiome and supporting eye health: vitamins, minerals and polyunsaturated fatty acids.</w:t>
      </w:r>
      <w:r>
        <w:rPr>
          <w:rFonts w:ascii="Geist Fallback" w:hAnsi="Geist Fallback"/>
          <w:sz w:val="23"/>
          <w:szCs w:val="23"/>
        </w:rPr>
        <w:t xml:space="preserve"> </w:t>
      </w:r>
      <w:r>
        <w:rPr>
          <w:rStyle w:val="cursor-pointer"/>
          <w:rFonts w:ascii="Geist Fallback" w:hAnsi="Geist Fallback"/>
          <w:sz w:val="23"/>
          <w:szCs w:val="23"/>
        </w:rPr>
        <w:t>Microbial growth, immune function and therefore, overall health demand certain vitamins such as B1, B12 and A along with iron, selenium and calcium.</w:t>
      </w:r>
      <w:r>
        <w:rPr>
          <w:rFonts w:ascii="Geist Fallback" w:hAnsi="Geist Fallback"/>
          <w:sz w:val="23"/>
          <w:szCs w:val="23"/>
        </w:rPr>
        <w:t xml:space="preserve"> </w:t>
      </w:r>
      <w:r>
        <w:rPr>
          <w:rStyle w:val="cursor-pointer"/>
          <w:rFonts w:ascii="Geist Fallback" w:hAnsi="Geist Fallback"/>
          <w:sz w:val="23"/>
          <w:szCs w:val="23"/>
        </w:rPr>
        <w:t>The beneficial effects of a diet high in fruit and vegetables, lean proteins and sources of omega-3s on microbial diversity and inflammation are believed to have a beneficial impact in the gut and in the eye.</w:t>
      </w:r>
      <w:r>
        <w:rPr>
          <w:rFonts w:ascii="Geist Fallback" w:hAnsi="Geist Fallback"/>
          <w:sz w:val="23"/>
          <w:szCs w:val="23"/>
        </w:rPr>
        <w:t xml:space="preserve"> </w:t>
      </w:r>
      <w:r w:rsidR="004B39E4">
        <w:rPr>
          <w:rFonts w:ascii="Geist Fallback" w:hAnsi="Geist Fallback"/>
          <w:sz w:val="23"/>
          <w:szCs w:val="23"/>
        </w:rPr>
        <w:t>[68]</w:t>
      </w:r>
      <w:r>
        <w:rPr>
          <w:rFonts w:ascii="Geist Fallback" w:hAnsi="Geist Fallback"/>
          <w:sz w:val="23"/>
          <w:szCs w:val="23"/>
        </w:rPr>
        <w:t>.</w:t>
      </w:r>
    </w:p>
    <w:p w14:paraId="1D0E6B92" w14:textId="77777777" w:rsidR="00DB363A" w:rsidRDefault="00DB363A" w:rsidP="003E40C0">
      <w:pPr>
        <w:pStyle w:val="ListParagraph"/>
        <w:spacing w:after="160"/>
        <w:ind w:left="0" w:firstLine="0"/>
        <w:contextualSpacing/>
        <w:rPr>
          <w:rFonts w:ascii="Times" w:hAnsi="Times"/>
          <w:b/>
          <w:color w:val="2E74B5" w:themeColor="accent5" w:themeShade="BF"/>
        </w:rPr>
      </w:pPr>
    </w:p>
    <w:p w14:paraId="02BEB0D3" w14:textId="0474C0ED" w:rsidR="003E40C0" w:rsidRPr="00FE7FF4" w:rsidRDefault="00FE7FF4" w:rsidP="003E40C0">
      <w:pPr>
        <w:spacing w:line="240" w:lineRule="auto"/>
        <w:jc w:val="both"/>
        <w:rPr>
          <w:rFonts w:ascii="Times New Roman" w:hAnsi="Times New Roman" w:cs="Times New Roman"/>
          <w:b/>
          <w:bCs/>
          <w:i/>
          <w:iCs/>
          <w:color w:val="0070C0"/>
        </w:rPr>
      </w:pPr>
      <w:r w:rsidRPr="00FE7FF4">
        <w:rPr>
          <w:rFonts w:ascii="Times New Roman" w:hAnsi="Times New Roman" w:cs="Times New Roman"/>
          <w:b/>
          <w:bCs/>
          <w:i/>
          <w:iCs/>
          <w:color w:val="0070C0"/>
        </w:rPr>
        <w:t xml:space="preserve">6.2.1 </w:t>
      </w:r>
      <w:r w:rsidR="003E40C0" w:rsidRPr="00FE7FF4">
        <w:rPr>
          <w:rFonts w:ascii="Times New Roman" w:hAnsi="Times New Roman" w:cs="Times New Roman"/>
          <w:b/>
          <w:bCs/>
          <w:i/>
          <w:iCs/>
          <w:color w:val="0070C0"/>
        </w:rPr>
        <w:t>Vitamins</w:t>
      </w:r>
    </w:p>
    <w:p w14:paraId="507DE0F4" w14:textId="6C7BEDDB" w:rsidR="003E40C0" w:rsidRPr="00A04BF7" w:rsidRDefault="003E40C0" w:rsidP="003E40C0">
      <w:pPr>
        <w:spacing w:line="240" w:lineRule="auto"/>
        <w:jc w:val="both"/>
        <w:rPr>
          <w:rFonts w:ascii="Times New Roman" w:hAnsi="Times New Roman" w:cs="Times New Roman"/>
        </w:rPr>
      </w:pPr>
      <w:r>
        <w:rPr>
          <w:rStyle w:val="cursor-pointer"/>
          <w:rFonts w:ascii="Geist Fallback" w:hAnsi="Geist Fallback"/>
          <w:sz w:val="23"/>
          <w:szCs w:val="23"/>
        </w:rPr>
        <w:t>Thiamine (B1) – Thiamine is essential for cell metabolism, particularly energy production.</w:t>
      </w:r>
      <w:r>
        <w:rPr>
          <w:rFonts w:ascii="Geist Fallback" w:hAnsi="Geist Fallback"/>
          <w:sz w:val="23"/>
          <w:szCs w:val="23"/>
        </w:rPr>
        <w:t xml:space="preserve"> </w:t>
      </w:r>
      <w:r>
        <w:rPr>
          <w:rStyle w:val="cursor-pointer"/>
          <w:rFonts w:ascii="Geist Fallback" w:hAnsi="Geist Fallback"/>
          <w:sz w:val="23"/>
          <w:szCs w:val="23"/>
        </w:rPr>
        <w:t xml:space="preserve">It could help to support levels of neurotransmitters and boost immunity </w:t>
      </w:r>
      <w:r w:rsidR="002A6800">
        <w:rPr>
          <w:rStyle w:val="cursor-pointer"/>
          <w:rFonts w:ascii="Geist Fallback" w:hAnsi="Geist Fallback"/>
          <w:sz w:val="23"/>
          <w:szCs w:val="23"/>
        </w:rPr>
        <w:t>[69]</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Recent research also has shown that thiamine might be involved in the gut dysbiosis, intestinal permeability and inflammation.</w:t>
      </w:r>
      <w:r>
        <w:rPr>
          <w:rFonts w:ascii="Geist Fallback" w:hAnsi="Geist Fallback"/>
          <w:sz w:val="23"/>
          <w:szCs w:val="23"/>
        </w:rPr>
        <w:t xml:space="preserve"> </w:t>
      </w:r>
      <w:r>
        <w:rPr>
          <w:rStyle w:val="cursor-pointer"/>
          <w:rFonts w:ascii="Geist Fallback" w:hAnsi="Geist Fallback"/>
          <w:sz w:val="23"/>
          <w:szCs w:val="23"/>
        </w:rPr>
        <w:t>Ocular surface disease like DED can be worsened by an indirect systemic form of inflammation.</w:t>
      </w:r>
      <w:r>
        <w:rPr>
          <w:rFonts w:ascii="Geist Fallback" w:hAnsi="Geist Fallback"/>
          <w:sz w:val="23"/>
          <w:szCs w:val="23"/>
        </w:rPr>
        <w:t xml:space="preserve"> </w:t>
      </w:r>
      <w:r>
        <w:rPr>
          <w:rStyle w:val="cursor-pointer"/>
          <w:rFonts w:ascii="Geist Fallback" w:hAnsi="Geist Fallback"/>
          <w:sz w:val="23"/>
          <w:szCs w:val="23"/>
        </w:rPr>
        <w:t xml:space="preserve">Thiamine regulated energy metabolism of epithelial cells is key to maintaining health and function of the ocular surface </w:t>
      </w:r>
      <w:r w:rsidR="00395CDB">
        <w:rPr>
          <w:rStyle w:val="cursor-pointer"/>
          <w:rFonts w:ascii="Geist Fallback" w:hAnsi="Geist Fallback"/>
          <w:sz w:val="23"/>
          <w:szCs w:val="23"/>
        </w:rPr>
        <w:t>[70]</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B12 is needed for the production of red blood cells, DNA and neurological function.</w:t>
      </w:r>
      <w:r>
        <w:rPr>
          <w:rFonts w:ascii="Geist Fallback" w:hAnsi="Geist Fallback"/>
          <w:sz w:val="23"/>
          <w:szCs w:val="23"/>
        </w:rPr>
        <w:t xml:space="preserve"> </w:t>
      </w:r>
      <w:r>
        <w:rPr>
          <w:rStyle w:val="cursor-pointer"/>
          <w:rFonts w:ascii="Geist Fallback" w:hAnsi="Geist Fallback"/>
          <w:sz w:val="23"/>
          <w:szCs w:val="23"/>
        </w:rPr>
        <w:t xml:space="preserve">It can lead to </w:t>
      </w:r>
      <w:proofErr w:type="spellStart"/>
      <w:r>
        <w:rPr>
          <w:rStyle w:val="cursor-pointer"/>
          <w:rFonts w:ascii="Geist Fallback" w:hAnsi="Geist Fallback"/>
          <w:sz w:val="23"/>
          <w:szCs w:val="23"/>
        </w:rPr>
        <w:t>anaemia</w:t>
      </w:r>
      <w:proofErr w:type="spellEnd"/>
      <w:r>
        <w:rPr>
          <w:rStyle w:val="cursor-pointer"/>
          <w:rFonts w:ascii="Geist Fallback" w:hAnsi="Geist Fallback"/>
          <w:sz w:val="23"/>
          <w:szCs w:val="23"/>
        </w:rPr>
        <w:t>, neuropathy and cognitive impairments.</w:t>
      </w:r>
      <w:r>
        <w:rPr>
          <w:rFonts w:ascii="Geist Fallback" w:hAnsi="Geist Fallback"/>
          <w:sz w:val="23"/>
          <w:szCs w:val="23"/>
        </w:rPr>
        <w:t xml:space="preserve"> </w:t>
      </w:r>
      <w:r>
        <w:rPr>
          <w:rStyle w:val="cursor-pointer"/>
          <w:rFonts w:ascii="Geist Fallback" w:hAnsi="Geist Fallback"/>
          <w:sz w:val="23"/>
          <w:szCs w:val="23"/>
        </w:rPr>
        <w:t>Butyrate-producing bacteria in the gut microbiome are regulated by Vitamin B12.</w:t>
      </w:r>
      <w:r>
        <w:rPr>
          <w:rFonts w:ascii="Geist Fallback" w:hAnsi="Geist Fallback"/>
          <w:sz w:val="23"/>
          <w:szCs w:val="23"/>
        </w:rPr>
        <w:t xml:space="preserve"> </w:t>
      </w:r>
      <w:r w:rsidR="00FA689C">
        <w:rPr>
          <w:rFonts w:ascii="Geist Fallback" w:hAnsi="Geist Fallback"/>
          <w:sz w:val="23"/>
          <w:szCs w:val="23"/>
        </w:rPr>
        <w:t>[71]</w:t>
      </w:r>
      <w:r>
        <w:rPr>
          <w:rFonts w:ascii="Geist Fallback" w:hAnsi="Geist Fallback"/>
          <w:sz w:val="23"/>
          <w:szCs w:val="23"/>
        </w:rPr>
        <w:t xml:space="preserve">. </w:t>
      </w:r>
      <w:r>
        <w:rPr>
          <w:rStyle w:val="cursor-pointer"/>
          <w:rFonts w:ascii="Geist Fallback" w:hAnsi="Geist Fallback"/>
          <w:sz w:val="23"/>
          <w:szCs w:val="23"/>
        </w:rPr>
        <w:t>Butyrate supports the integrity of the intestinal barrier and inflammation—both of which are factors that impact eye health.</w:t>
      </w:r>
      <w:r>
        <w:rPr>
          <w:rFonts w:ascii="Geist Fallback" w:hAnsi="Geist Fallback"/>
          <w:sz w:val="23"/>
          <w:szCs w:val="23"/>
        </w:rPr>
        <w:t xml:space="preserve"> </w:t>
      </w:r>
      <w:r>
        <w:rPr>
          <w:rStyle w:val="cursor-pointer"/>
          <w:rFonts w:ascii="Geist Fallback" w:hAnsi="Geist Fallback"/>
          <w:sz w:val="23"/>
          <w:szCs w:val="23"/>
        </w:rPr>
        <w:t>B12 deficiency can lead to an increase in bacteria that are harmful to the gut and are associated with inflammatory diseases, such as DED.</w:t>
      </w:r>
      <w:r>
        <w:rPr>
          <w:rFonts w:ascii="Geist Fallback" w:hAnsi="Geist Fallback"/>
          <w:sz w:val="23"/>
          <w:szCs w:val="23"/>
        </w:rPr>
        <w:t xml:space="preserve"> </w:t>
      </w:r>
      <w:r w:rsidRPr="00A04BF7">
        <w:rPr>
          <w:rFonts w:ascii="Times New Roman" w:hAnsi="Times New Roman" w:cs="Times New Roman"/>
        </w:rPr>
        <w:t xml:space="preserve"> </w:t>
      </w:r>
    </w:p>
    <w:p w14:paraId="082BC085" w14:textId="0C52A35A" w:rsidR="003E40C0" w:rsidRPr="00FE7FF4" w:rsidRDefault="00FE7FF4" w:rsidP="003E40C0">
      <w:pPr>
        <w:spacing w:line="240" w:lineRule="auto"/>
        <w:jc w:val="both"/>
        <w:rPr>
          <w:rFonts w:ascii="Times New Roman" w:hAnsi="Times New Roman" w:cs="Times New Roman"/>
          <w:b/>
          <w:bCs/>
          <w:color w:val="0070C0"/>
        </w:rPr>
      </w:pPr>
      <w:r w:rsidRPr="00FE7FF4">
        <w:rPr>
          <w:rFonts w:ascii="Times New Roman" w:hAnsi="Times New Roman" w:cs="Times New Roman"/>
          <w:b/>
          <w:bCs/>
          <w:i/>
          <w:color w:val="0070C0"/>
        </w:rPr>
        <w:t xml:space="preserve">6.2.2 </w:t>
      </w:r>
      <w:r w:rsidR="003E40C0" w:rsidRPr="00FE7FF4">
        <w:rPr>
          <w:rFonts w:ascii="Times New Roman" w:hAnsi="Times New Roman" w:cs="Times New Roman"/>
          <w:b/>
          <w:bCs/>
          <w:i/>
          <w:color w:val="0070C0"/>
        </w:rPr>
        <w:t>Iron</w:t>
      </w:r>
      <w:r w:rsidR="003E40C0" w:rsidRPr="00FE7FF4">
        <w:rPr>
          <w:rFonts w:ascii="Times New Roman" w:hAnsi="Times New Roman" w:cs="Times New Roman"/>
          <w:b/>
          <w:bCs/>
          <w:color w:val="0070C0"/>
        </w:rPr>
        <w:t xml:space="preserve"> </w:t>
      </w:r>
    </w:p>
    <w:p w14:paraId="42E352FD" w14:textId="42CF4A74" w:rsidR="003E40C0" w:rsidRDefault="003E40C0" w:rsidP="003E40C0">
      <w:pPr>
        <w:spacing w:line="240" w:lineRule="auto"/>
        <w:jc w:val="both"/>
        <w:rPr>
          <w:rFonts w:ascii="Geist Fallback" w:hAnsi="Geist Fallback"/>
          <w:sz w:val="23"/>
          <w:szCs w:val="23"/>
        </w:rPr>
      </w:pPr>
      <w:r>
        <w:rPr>
          <w:rStyle w:val="cursor-pointer"/>
          <w:rFonts w:ascii="Geist Fallback" w:hAnsi="Geist Fallback"/>
          <w:sz w:val="23"/>
          <w:szCs w:val="23"/>
        </w:rPr>
        <w:t>Iron is a crucial and essential nutrient for cellular metabolism, oxygen transport and immune function.</w:t>
      </w:r>
      <w:r>
        <w:rPr>
          <w:rFonts w:ascii="Geist Fallback" w:hAnsi="Geist Fallback"/>
          <w:sz w:val="23"/>
          <w:szCs w:val="23"/>
        </w:rPr>
        <w:t xml:space="preserve"> </w:t>
      </w:r>
      <w:r>
        <w:rPr>
          <w:rStyle w:val="cursor-pointer"/>
          <w:rFonts w:ascii="Geist Fallback" w:hAnsi="Geist Fallback"/>
          <w:sz w:val="23"/>
          <w:szCs w:val="23"/>
        </w:rPr>
        <w:t xml:space="preserve">Iron deficiency can cause </w:t>
      </w:r>
      <w:proofErr w:type="spellStart"/>
      <w:r>
        <w:rPr>
          <w:rStyle w:val="cursor-pointer"/>
          <w:rFonts w:ascii="Geist Fallback" w:hAnsi="Geist Fallback"/>
          <w:sz w:val="23"/>
          <w:szCs w:val="23"/>
        </w:rPr>
        <w:t>anaemia</w:t>
      </w:r>
      <w:proofErr w:type="spellEnd"/>
      <w:r>
        <w:rPr>
          <w:rStyle w:val="cursor-pointer"/>
          <w:rFonts w:ascii="Geist Fallback" w:hAnsi="Geist Fallback"/>
          <w:sz w:val="23"/>
          <w:szCs w:val="23"/>
        </w:rPr>
        <w:t xml:space="preserve"> and poor immune function.</w:t>
      </w:r>
      <w:r>
        <w:rPr>
          <w:rFonts w:ascii="Geist Fallback" w:hAnsi="Geist Fallback"/>
          <w:sz w:val="23"/>
          <w:szCs w:val="23"/>
        </w:rPr>
        <w:t xml:space="preserve"> </w:t>
      </w:r>
      <w:r w:rsidR="00490A18">
        <w:rPr>
          <w:rFonts w:ascii="Geist Fallback" w:hAnsi="Geist Fallback"/>
          <w:sz w:val="23"/>
          <w:szCs w:val="23"/>
        </w:rPr>
        <w:t>[72]</w:t>
      </w:r>
      <w:r>
        <w:rPr>
          <w:rFonts w:ascii="Geist Fallback" w:hAnsi="Geist Fallback"/>
          <w:sz w:val="23"/>
          <w:szCs w:val="23"/>
        </w:rPr>
        <w:t xml:space="preserve">. </w:t>
      </w:r>
      <w:r>
        <w:rPr>
          <w:rStyle w:val="cursor-pointer"/>
          <w:rFonts w:ascii="Geist Fallback" w:hAnsi="Geist Fallback"/>
          <w:sz w:val="23"/>
          <w:szCs w:val="23"/>
        </w:rPr>
        <w:t>Iron is essential for the proliferation and metabolism of the gut microbiota and may result in d</w:t>
      </w:r>
      <w:r w:rsidR="004F7CF0">
        <w:rPr>
          <w:rStyle w:val="cursor-pointer"/>
          <w:rFonts w:ascii="Geist Fallback" w:hAnsi="Geist Fallback"/>
          <w:sz w:val="23"/>
          <w:szCs w:val="23"/>
        </w:rPr>
        <w:t>i</w:t>
      </w:r>
      <w:r>
        <w:rPr>
          <w:rStyle w:val="cursor-pointer"/>
          <w:rFonts w:ascii="Geist Fallback" w:hAnsi="Geist Fallback"/>
          <w:sz w:val="23"/>
          <w:szCs w:val="23"/>
        </w:rPr>
        <w:t>sbalance of the gut microbiota in cases of iron availability changes.</w:t>
      </w:r>
      <w:r>
        <w:rPr>
          <w:rFonts w:ascii="Geist Fallback" w:hAnsi="Geist Fallback"/>
          <w:sz w:val="23"/>
          <w:szCs w:val="23"/>
        </w:rPr>
        <w:t xml:space="preserve"> </w:t>
      </w:r>
      <w:r>
        <w:rPr>
          <w:rStyle w:val="cursor-pointer"/>
          <w:rFonts w:ascii="Geist Fallback" w:hAnsi="Geist Fallback"/>
          <w:sz w:val="23"/>
          <w:szCs w:val="23"/>
        </w:rPr>
        <w:t>Both under and over</w:t>
      </w:r>
      <w:r w:rsidR="004F7CF0">
        <w:rPr>
          <w:rStyle w:val="cursor-pointer"/>
          <w:rFonts w:ascii="Geist Fallback" w:hAnsi="Geist Fallback"/>
          <w:sz w:val="23"/>
          <w:szCs w:val="23"/>
        </w:rPr>
        <w:t>-</w:t>
      </w:r>
      <w:r>
        <w:rPr>
          <w:rStyle w:val="cursor-pointer"/>
          <w:rFonts w:ascii="Geist Fallback" w:hAnsi="Geist Fallback"/>
          <w:sz w:val="23"/>
          <w:szCs w:val="23"/>
        </w:rPr>
        <w:t>availability of iron may promote dysbiosis, leading to an increased population of pro-inflammatory bacteria, increased susceptibility to infections, and inflammatory conditions, like ocular surface diseases including DED.</w:t>
      </w:r>
      <w:r>
        <w:rPr>
          <w:rFonts w:ascii="Geist Fallback" w:hAnsi="Geist Fallback"/>
          <w:sz w:val="23"/>
          <w:szCs w:val="23"/>
        </w:rPr>
        <w:t xml:space="preserve"> </w:t>
      </w:r>
      <w:r>
        <w:rPr>
          <w:rStyle w:val="cursor-pointer"/>
          <w:rFonts w:ascii="Geist Fallback" w:hAnsi="Geist Fallback"/>
          <w:sz w:val="23"/>
          <w:szCs w:val="23"/>
        </w:rPr>
        <w:t xml:space="preserve">More recent research also showed that iron deficiency is connected with decreased levels of butyrate-producing bacteria, thus further </w:t>
      </w:r>
      <w:r>
        <w:rPr>
          <w:rStyle w:val="cursor-pointer"/>
          <w:rFonts w:ascii="Geist Fallback" w:hAnsi="Geist Fallback"/>
          <w:sz w:val="23"/>
          <w:szCs w:val="23"/>
        </w:rPr>
        <w:t>worsening systemic inflammation and ocular health.</w:t>
      </w:r>
      <w:r>
        <w:rPr>
          <w:rFonts w:ascii="Geist Fallback" w:hAnsi="Geist Fallback"/>
          <w:sz w:val="23"/>
          <w:szCs w:val="23"/>
        </w:rPr>
        <w:t xml:space="preserve"> </w:t>
      </w:r>
      <w:r w:rsidR="00CE252A">
        <w:rPr>
          <w:rFonts w:ascii="Geist Fallback" w:hAnsi="Geist Fallback"/>
          <w:sz w:val="23"/>
          <w:szCs w:val="23"/>
        </w:rPr>
        <w:t>[73]</w:t>
      </w:r>
      <w:r>
        <w:rPr>
          <w:rFonts w:ascii="Geist Fallback" w:hAnsi="Geist Fallback"/>
          <w:sz w:val="23"/>
          <w:szCs w:val="23"/>
        </w:rPr>
        <w:t>.</w:t>
      </w:r>
    </w:p>
    <w:p w14:paraId="25F39D09" w14:textId="0F43F111" w:rsidR="003E40C0" w:rsidRPr="00462934" w:rsidRDefault="00462934" w:rsidP="003E40C0">
      <w:pPr>
        <w:spacing w:line="240" w:lineRule="auto"/>
        <w:jc w:val="both"/>
        <w:rPr>
          <w:rFonts w:ascii="Times New Roman" w:hAnsi="Times New Roman" w:cs="Times New Roman"/>
          <w:b/>
          <w:bCs/>
          <w:i/>
          <w:color w:val="0070C0"/>
        </w:rPr>
      </w:pPr>
      <w:r w:rsidRPr="00462934">
        <w:rPr>
          <w:rFonts w:ascii="Times New Roman" w:hAnsi="Times New Roman" w:cs="Times New Roman"/>
          <w:b/>
          <w:bCs/>
          <w:i/>
          <w:color w:val="0070C0"/>
        </w:rPr>
        <w:t xml:space="preserve">6.2.3 </w:t>
      </w:r>
      <w:r w:rsidR="003E40C0" w:rsidRPr="00462934">
        <w:rPr>
          <w:rFonts w:ascii="Times New Roman" w:hAnsi="Times New Roman" w:cs="Times New Roman"/>
          <w:b/>
          <w:bCs/>
          <w:i/>
          <w:color w:val="0070C0"/>
        </w:rPr>
        <w:t>Vitamin A</w:t>
      </w:r>
    </w:p>
    <w:p w14:paraId="5411FA51" w14:textId="5F4F5EC1" w:rsidR="003E40C0" w:rsidRPr="00EC7BFF" w:rsidRDefault="003E40C0" w:rsidP="003E40C0">
      <w:pPr>
        <w:spacing w:line="240" w:lineRule="auto"/>
        <w:jc w:val="both"/>
        <w:rPr>
          <w:rFonts w:ascii="Times New Roman" w:hAnsi="Times New Roman" w:cs="Times New Roman"/>
        </w:rPr>
      </w:pPr>
      <w:r>
        <w:rPr>
          <w:rStyle w:val="cursor-pointer"/>
          <w:rFonts w:ascii="Geist Fallback" w:hAnsi="Geist Fallback"/>
          <w:sz w:val="23"/>
          <w:szCs w:val="23"/>
        </w:rPr>
        <w:t>Vitamin A is important for the immune system and surface of the eyes.</w:t>
      </w:r>
      <w:r>
        <w:rPr>
          <w:rFonts w:ascii="Geist Fallback" w:hAnsi="Geist Fallback"/>
          <w:sz w:val="23"/>
          <w:szCs w:val="23"/>
        </w:rPr>
        <w:t xml:space="preserve"> </w:t>
      </w:r>
      <w:r>
        <w:rPr>
          <w:rStyle w:val="cursor-pointer"/>
          <w:rFonts w:ascii="Geist Fallback" w:hAnsi="Geist Fallback"/>
          <w:sz w:val="23"/>
          <w:szCs w:val="23"/>
        </w:rPr>
        <w:t>It secretes mucins that contribute to the stability of tear films and lubrication of the eye.</w:t>
      </w:r>
      <w:r>
        <w:rPr>
          <w:rFonts w:ascii="Geist Fallback" w:hAnsi="Geist Fallback"/>
          <w:sz w:val="23"/>
          <w:szCs w:val="23"/>
        </w:rPr>
        <w:t xml:space="preserve"> </w:t>
      </w:r>
      <w:r>
        <w:rPr>
          <w:rStyle w:val="cursor-pointer"/>
          <w:rFonts w:ascii="Geist Fallback" w:hAnsi="Geist Fallback"/>
          <w:sz w:val="23"/>
          <w:szCs w:val="23"/>
        </w:rPr>
        <w:t xml:space="preserve">Dry eyes and eye surface pathologies </w:t>
      </w:r>
      <w:r w:rsidR="00563CE7">
        <w:rPr>
          <w:rStyle w:val="cursor-pointer"/>
          <w:rFonts w:ascii="Geist Fallback" w:hAnsi="Geist Fallback"/>
          <w:sz w:val="23"/>
          <w:szCs w:val="23"/>
        </w:rPr>
        <w:t>[74]</w:t>
      </w:r>
      <w:r>
        <w:rPr>
          <w:rStyle w:val="cursor-pointer"/>
          <w:rFonts w:ascii="Geist Fallback" w:hAnsi="Geist Fallback"/>
          <w:sz w:val="23"/>
          <w:szCs w:val="23"/>
        </w:rPr>
        <w:t xml:space="preserve"> are associated with vitamin A deficiency.</w:t>
      </w:r>
      <w:r w:rsidR="00734BB7">
        <w:rPr>
          <w:rStyle w:val="cursor-pointer"/>
          <w:rFonts w:ascii="Geist Fallback" w:hAnsi="Geist Fallback"/>
          <w:sz w:val="23"/>
          <w:szCs w:val="23"/>
        </w:rPr>
        <w:t xml:space="preserve"> </w:t>
      </w:r>
      <w:r>
        <w:rPr>
          <w:rStyle w:val="cursor-pointer"/>
          <w:rFonts w:ascii="Geist Fallback" w:hAnsi="Geist Fallback"/>
          <w:sz w:val="23"/>
          <w:szCs w:val="23"/>
        </w:rPr>
        <w:t>Additionally, vitamin A has been shown to affect the gut microbiome through various mechanisms, such as encouraging the growth of beneficial bacteria and maintaining immune system function.</w:t>
      </w:r>
      <w:r>
        <w:rPr>
          <w:rFonts w:ascii="Geist Fallback" w:hAnsi="Geist Fallback"/>
          <w:sz w:val="23"/>
          <w:szCs w:val="23"/>
        </w:rPr>
        <w:t xml:space="preserve"> </w:t>
      </w:r>
      <w:r>
        <w:rPr>
          <w:rStyle w:val="cursor-pointer"/>
          <w:rFonts w:ascii="Geist Fallback" w:hAnsi="Geist Fallback"/>
          <w:sz w:val="23"/>
          <w:szCs w:val="23"/>
        </w:rPr>
        <w:t>It is especially relevant in the context of preventing the inflammation of the eye surface because of its role in the maintenance of mucosal immunity both in the gut and in the eyes.</w:t>
      </w:r>
    </w:p>
    <w:p w14:paraId="50BCE9B7" w14:textId="649F7DD1" w:rsidR="003E40C0" w:rsidRPr="00EC7BFF" w:rsidRDefault="00EC7BFF" w:rsidP="003E40C0">
      <w:pPr>
        <w:spacing w:line="240" w:lineRule="auto"/>
        <w:jc w:val="both"/>
        <w:rPr>
          <w:rFonts w:ascii="Times New Roman" w:hAnsi="Times New Roman" w:cs="Times New Roman"/>
          <w:b/>
          <w:bCs/>
          <w:i/>
          <w:iCs/>
          <w:color w:val="0070C0"/>
        </w:rPr>
      </w:pPr>
      <w:r w:rsidRPr="00EC7BFF">
        <w:rPr>
          <w:rFonts w:ascii="Times New Roman" w:hAnsi="Times New Roman" w:cs="Times New Roman"/>
          <w:b/>
          <w:bCs/>
          <w:i/>
          <w:iCs/>
          <w:color w:val="0070C0"/>
        </w:rPr>
        <w:t xml:space="preserve">6.2.4 </w:t>
      </w:r>
      <w:r w:rsidR="003E40C0" w:rsidRPr="00EC7BFF">
        <w:rPr>
          <w:rFonts w:ascii="Times New Roman" w:hAnsi="Times New Roman" w:cs="Times New Roman"/>
          <w:b/>
          <w:bCs/>
          <w:i/>
          <w:iCs/>
          <w:color w:val="0070C0"/>
        </w:rPr>
        <w:t>Omega-3 Polyunsaturated Fatty Acids</w:t>
      </w:r>
    </w:p>
    <w:p w14:paraId="25EC80AC" w14:textId="6DF12BA8" w:rsidR="003E40C0" w:rsidRPr="00BC0CBA" w:rsidRDefault="003E40C0" w:rsidP="00BC0CBA">
      <w:pPr>
        <w:spacing w:line="240" w:lineRule="auto"/>
        <w:jc w:val="both"/>
        <w:rPr>
          <w:rFonts w:ascii="Geist Fallback" w:hAnsi="Geist Fallback"/>
          <w:sz w:val="23"/>
          <w:szCs w:val="23"/>
        </w:rPr>
      </w:pPr>
      <w:r>
        <w:rPr>
          <w:rStyle w:val="cursor-pointer"/>
          <w:rFonts w:ascii="Geist Fallback" w:hAnsi="Geist Fallback"/>
          <w:sz w:val="23"/>
          <w:szCs w:val="23"/>
        </w:rPr>
        <w:t>Fatty fish and plant-based sources of omega-3 polyunsaturated fatty acids (PUFAs) have anti-inflammatory properties.</w:t>
      </w:r>
      <w:r>
        <w:rPr>
          <w:rFonts w:ascii="Geist Fallback" w:hAnsi="Geist Fallback"/>
          <w:sz w:val="23"/>
          <w:szCs w:val="23"/>
        </w:rPr>
        <w:t xml:space="preserve"> </w:t>
      </w:r>
      <w:r>
        <w:rPr>
          <w:rStyle w:val="cursor-pointer"/>
          <w:rFonts w:ascii="Geist Fallback" w:hAnsi="Geist Fallback"/>
          <w:sz w:val="23"/>
          <w:szCs w:val="23"/>
        </w:rPr>
        <w:t xml:space="preserve">EPA and DH in particular, are important for the gut microbiome and the ocular surface </w:t>
      </w:r>
      <w:r w:rsidR="006B5EB7">
        <w:rPr>
          <w:rStyle w:val="cursor-pointer"/>
          <w:rFonts w:ascii="Geist Fallback" w:hAnsi="Geist Fallback"/>
          <w:sz w:val="23"/>
          <w:szCs w:val="23"/>
        </w:rPr>
        <w:t>[75]</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Furthermore, Omega-3 PUFAs positively promotes the growth of Bifidobacterium and Lactobacillus, and inhibits Firmicutes and Proteobacteria.</w:t>
      </w:r>
      <w:r>
        <w:rPr>
          <w:rFonts w:ascii="Geist Fallback" w:hAnsi="Geist Fallback"/>
          <w:sz w:val="23"/>
          <w:szCs w:val="23"/>
        </w:rPr>
        <w:t xml:space="preserve"> </w:t>
      </w:r>
      <w:r>
        <w:rPr>
          <w:rStyle w:val="cursor-pointer"/>
          <w:rFonts w:ascii="Geist Fallback" w:hAnsi="Geist Fallback"/>
          <w:sz w:val="23"/>
          <w:szCs w:val="23"/>
        </w:rPr>
        <w:t>The microbial signature consequently activates the immune system to respond and maintain the integrity of the gut to prevent distant inflammation.</w:t>
      </w:r>
      <w:r>
        <w:rPr>
          <w:rFonts w:ascii="Geist Fallback" w:hAnsi="Geist Fallback"/>
          <w:sz w:val="23"/>
          <w:szCs w:val="23"/>
        </w:rPr>
        <w:t xml:space="preserve"> </w:t>
      </w:r>
      <w:r>
        <w:rPr>
          <w:rStyle w:val="cursor-pointer"/>
          <w:rFonts w:ascii="Geist Fallback" w:hAnsi="Geist Fallback"/>
          <w:sz w:val="23"/>
          <w:szCs w:val="23"/>
        </w:rPr>
        <w:t>Omega 3 fatty acids reduce eyeball irritation.</w:t>
      </w:r>
      <w:r>
        <w:rPr>
          <w:rFonts w:ascii="Geist Fallback" w:hAnsi="Geist Fallback"/>
          <w:sz w:val="23"/>
          <w:szCs w:val="23"/>
        </w:rPr>
        <w:t xml:space="preserve"> </w:t>
      </w:r>
      <w:r>
        <w:rPr>
          <w:rStyle w:val="cursor-pointer"/>
          <w:rFonts w:ascii="Geist Fallback" w:hAnsi="Geist Fallback"/>
          <w:sz w:val="23"/>
          <w:szCs w:val="23"/>
        </w:rPr>
        <w:t>The benefit of these is for those with Dry Eye Disease (DED).</w:t>
      </w:r>
      <w:r>
        <w:rPr>
          <w:rFonts w:ascii="Geist Fallback" w:hAnsi="Geist Fallback"/>
          <w:sz w:val="23"/>
          <w:szCs w:val="23"/>
        </w:rPr>
        <w:t xml:space="preserve"> </w:t>
      </w:r>
      <w:r>
        <w:rPr>
          <w:rStyle w:val="cursor-pointer"/>
          <w:rFonts w:ascii="Geist Fallback" w:hAnsi="Geist Fallback"/>
          <w:sz w:val="23"/>
          <w:szCs w:val="23"/>
        </w:rPr>
        <w:t xml:space="preserve">Omega-3s boost </w:t>
      </w:r>
      <w:proofErr w:type="spellStart"/>
      <w:r>
        <w:rPr>
          <w:rStyle w:val="cursor-pointer"/>
          <w:rFonts w:ascii="Geist Fallback" w:hAnsi="Geist Fallback"/>
          <w:sz w:val="23"/>
          <w:szCs w:val="23"/>
        </w:rPr>
        <w:t>resolvins</w:t>
      </w:r>
      <w:proofErr w:type="spellEnd"/>
      <w:r>
        <w:rPr>
          <w:rStyle w:val="cursor-pointer"/>
          <w:rFonts w:ascii="Geist Fallback" w:hAnsi="Geist Fallback"/>
          <w:sz w:val="23"/>
          <w:szCs w:val="23"/>
        </w:rPr>
        <w:t xml:space="preserve"> and </w:t>
      </w:r>
      <w:proofErr w:type="spellStart"/>
      <w:r>
        <w:rPr>
          <w:rStyle w:val="cursor-pointer"/>
          <w:rFonts w:ascii="Geist Fallback" w:hAnsi="Geist Fallback"/>
          <w:sz w:val="23"/>
          <w:szCs w:val="23"/>
        </w:rPr>
        <w:t>protectins</w:t>
      </w:r>
      <w:proofErr w:type="spellEnd"/>
      <w:r>
        <w:rPr>
          <w:rStyle w:val="cursor-pointer"/>
          <w:rFonts w:ascii="Geist Fallback" w:hAnsi="Geist Fallback"/>
          <w:sz w:val="23"/>
          <w:szCs w:val="23"/>
        </w:rPr>
        <w:t xml:space="preserve"> and decrease pro-inflammatory cytokines.</w:t>
      </w:r>
      <w:r>
        <w:rPr>
          <w:rFonts w:ascii="Geist Fallback" w:hAnsi="Geist Fallback"/>
          <w:sz w:val="23"/>
          <w:szCs w:val="23"/>
        </w:rPr>
        <w:t xml:space="preserve"> </w:t>
      </w:r>
      <w:r w:rsidR="000A5228">
        <w:rPr>
          <w:rFonts w:ascii="Geist Fallback" w:hAnsi="Geist Fallback"/>
          <w:sz w:val="23"/>
          <w:szCs w:val="23"/>
        </w:rPr>
        <w:t>[76]</w:t>
      </w:r>
      <w:r>
        <w:rPr>
          <w:rFonts w:ascii="Geist Fallback" w:hAnsi="Geist Fallback"/>
          <w:sz w:val="23"/>
          <w:szCs w:val="23"/>
        </w:rPr>
        <w:t xml:space="preserve">. </w:t>
      </w:r>
      <w:r>
        <w:rPr>
          <w:rStyle w:val="cursor-pointer"/>
          <w:rFonts w:ascii="Geist Fallback" w:hAnsi="Geist Fallback"/>
          <w:sz w:val="23"/>
          <w:szCs w:val="23"/>
        </w:rPr>
        <w:t>These effects are not only in the gut but also on the immune system and decrease eye inflammation.</w:t>
      </w:r>
      <w:r>
        <w:rPr>
          <w:rFonts w:ascii="Geist Fallback" w:hAnsi="Geist Fallback"/>
          <w:sz w:val="23"/>
          <w:szCs w:val="23"/>
        </w:rPr>
        <w:t xml:space="preserve"> </w:t>
      </w:r>
      <w:proofErr w:type="gramStart"/>
      <w:r>
        <w:rPr>
          <w:rStyle w:val="cursor-pointer"/>
          <w:rFonts w:ascii="Geist Fallback" w:hAnsi="Geist Fallback"/>
          <w:sz w:val="23"/>
          <w:szCs w:val="23"/>
        </w:rPr>
        <w:t>So</w:t>
      </w:r>
      <w:proofErr w:type="gramEnd"/>
      <w:r>
        <w:rPr>
          <w:rStyle w:val="cursor-pointer"/>
          <w:rFonts w:ascii="Geist Fallback" w:hAnsi="Geist Fallback"/>
          <w:sz w:val="23"/>
          <w:szCs w:val="23"/>
        </w:rPr>
        <w:t xml:space="preserve"> by promoting the balance of the gut microbiota and by lowering inflammation, this supply of omega 3 by normal food intake or by supplementation can help to enhance gut and eye health.</w:t>
      </w:r>
    </w:p>
    <w:p w14:paraId="7D10FFA7" w14:textId="6B9DA34A" w:rsidR="003E40C0" w:rsidRPr="00BC0CBA" w:rsidRDefault="00BC0CBA" w:rsidP="003E40C0">
      <w:pPr>
        <w:spacing w:line="240" w:lineRule="auto"/>
        <w:jc w:val="both"/>
        <w:rPr>
          <w:rFonts w:ascii="Times New Roman" w:hAnsi="Times New Roman" w:cs="Times New Roman"/>
          <w:b/>
          <w:bCs/>
          <w:i/>
          <w:iCs/>
          <w:color w:val="0070C0"/>
        </w:rPr>
      </w:pPr>
      <w:r w:rsidRPr="00BC0CBA">
        <w:rPr>
          <w:rFonts w:ascii="Times New Roman" w:hAnsi="Times New Roman" w:cs="Times New Roman"/>
          <w:b/>
          <w:bCs/>
          <w:i/>
          <w:iCs/>
          <w:color w:val="0070C0"/>
        </w:rPr>
        <w:t xml:space="preserve">6.2.5 </w:t>
      </w:r>
      <w:r w:rsidR="003E40C0" w:rsidRPr="00BC0CBA">
        <w:rPr>
          <w:rFonts w:ascii="Times New Roman" w:hAnsi="Times New Roman" w:cs="Times New Roman"/>
          <w:b/>
          <w:bCs/>
          <w:i/>
          <w:iCs/>
          <w:color w:val="0070C0"/>
        </w:rPr>
        <w:t>Selenium</w:t>
      </w:r>
    </w:p>
    <w:p w14:paraId="1339DC8F" w14:textId="710251C0" w:rsidR="003E40C0" w:rsidRPr="0024697F" w:rsidRDefault="003E40C0" w:rsidP="003E40C0">
      <w:pPr>
        <w:spacing w:line="240" w:lineRule="auto"/>
        <w:jc w:val="both"/>
        <w:rPr>
          <w:rFonts w:ascii="Times New Roman" w:hAnsi="Times New Roman" w:cs="Times New Roman"/>
        </w:rPr>
      </w:pPr>
      <w:r>
        <w:rPr>
          <w:rStyle w:val="cursor-pointer"/>
          <w:rFonts w:ascii="Geist Fallback" w:hAnsi="Geist Fallback"/>
          <w:sz w:val="23"/>
          <w:szCs w:val="23"/>
        </w:rPr>
        <w:t>Selenium is an antioxidant trace mineral that is involved in cell resistance to oxidative stress and immune function.</w:t>
      </w:r>
      <w:r>
        <w:rPr>
          <w:rFonts w:ascii="Geist Fallback" w:hAnsi="Geist Fallback"/>
          <w:sz w:val="23"/>
          <w:szCs w:val="23"/>
        </w:rPr>
        <w:t xml:space="preserve"> </w:t>
      </w:r>
      <w:r w:rsidR="00223624">
        <w:rPr>
          <w:rFonts w:ascii="Geist Fallback" w:hAnsi="Geist Fallback"/>
          <w:sz w:val="23"/>
          <w:szCs w:val="23"/>
        </w:rPr>
        <w:t>[77]</w:t>
      </w:r>
      <w:r>
        <w:rPr>
          <w:rFonts w:ascii="Geist Fallback" w:hAnsi="Geist Fallback"/>
          <w:sz w:val="23"/>
          <w:szCs w:val="23"/>
        </w:rPr>
        <w:t xml:space="preserve">. </w:t>
      </w:r>
      <w:r>
        <w:rPr>
          <w:rStyle w:val="cursor-pointer"/>
          <w:rFonts w:ascii="Geist Fallback" w:hAnsi="Geist Fallback"/>
          <w:sz w:val="23"/>
          <w:szCs w:val="23"/>
        </w:rPr>
        <w:t>Probiotics that encourage good SCFA-producing bacteria and the regulation of inflammatory pathways have been reported as influencing the gut microbiome.</w:t>
      </w:r>
      <w:r>
        <w:rPr>
          <w:rFonts w:ascii="Geist Fallback" w:hAnsi="Geist Fallback"/>
          <w:sz w:val="23"/>
          <w:szCs w:val="23"/>
        </w:rPr>
        <w:t xml:space="preserve"> </w:t>
      </w:r>
      <w:r>
        <w:rPr>
          <w:rStyle w:val="cursor-pointer"/>
          <w:rFonts w:ascii="Geist Fallback" w:hAnsi="Geist Fallback"/>
          <w:sz w:val="23"/>
          <w:szCs w:val="23"/>
        </w:rPr>
        <w:t>Selenium can help reduce oxidative stress and inflammation, which can help protect the surfaces of the eyes, in some tests.</w:t>
      </w:r>
      <w:r>
        <w:rPr>
          <w:rFonts w:ascii="Geist Fallback" w:hAnsi="Geist Fallback"/>
          <w:sz w:val="23"/>
          <w:szCs w:val="23"/>
        </w:rPr>
        <w:t xml:space="preserve"> </w:t>
      </w:r>
      <w:r>
        <w:rPr>
          <w:rStyle w:val="cursor-pointer"/>
          <w:rFonts w:ascii="Geist Fallback" w:hAnsi="Geist Fallback"/>
          <w:sz w:val="23"/>
          <w:szCs w:val="23"/>
        </w:rPr>
        <w:t>The importance of selenium to gut and ocular health is illustrated by its connection with a number of inflammatory eye diseases including dry eye and thyroid orbitopathy.</w:t>
      </w:r>
    </w:p>
    <w:p w14:paraId="2DCF1E5C" w14:textId="13CCF9A6" w:rsidR="003E40C0" w:rsidRPr="0024697F" w:rsidRDefault="0024697F" w:rsidP="003E40C0">
      <w:pPr>
        <w:spacing w:line="240" w:lineRule="auto"/>
        <w:jc w:val="both"/>
        <w:rPr>
          <w:rFonts w:ascii="Times New Roman" w:hAnsi="Times New Roman" w:cs="Times New Roman"/>
          <w:b/>
          <w:bCs/>
          <w:i/>
          <w:iCs/>
          <w:color w:val="0070C0"/>
        </w:rPr>
      </w:pPr>
      <w:r w:rsidRPr="0024697F">
        <w:rPr>
          <w:rFonts w:ascii="Times New Roman" w:hAnsi="Times New Roman" w:cs="Times New Roman"/>
          <w:b/>
          <w:bCs/>
          <w:i/>
          <w:iCs/>
          <w:color w:val="0070C0"/>
        </w:rPr>
        <w:t xml:space="preserve">6.2.6 </w:t>
      </w:r>
      <w:r w:rsidR="003E40C0" w:rsidRPr="0024697F">
        <w:rPr>
          <w:rFonts w:ascii="Times New Roman" w:hAnsi="Times New Roman" w:cs="Times New Roman"/>
          <w:b/>
          <w:bCs/>
          <w:i/>
          <w:iCs/>
          <w:color w:val="0070C0"/>
        </w:rPr>
        <w:t>Calcium</w:t>
      </w:r>
    </w:p>
    <w:p w14:paraId="7DCC830A" w14:textId="44562B7A" w:rsidR="003E40C0" w:rsidRDefault="003E40C0" w:rsidP="003E40C0">
      <w:pPr>
        <w:spacing w:line="240" w:lineRule="auto"/>
        <w:jc w:val="both"/>
        <w:rPr>
          <w:rFonts w:ascii="Geist Fallback" w:hAnsi="Geist Fallback"/>
          <w:sz w:val="23"/>
          <w:szCs w:val="23"/>
        </w:rPr>
      </w:pPr>
      <w:r>
        <w:rPr>
          <w:rStyle w:val="cursor-pointer"/>
          <w:rFonts w:ascii="Geist Fallback" w:hAnsi="Geist Fallback"/>
          <w:sz w:val="23"/>
          <w:szCs w:val="23"/>
        </w:rPr>
        <w:lastRenderedPageBreak/>
        <w:t>It plays a very important role in function of the bones, the muscles, and intracellular signaling.</w:t>
      </w:r>
      <w:r>
        <w:rPr>
          <w:rFonts w:ascii="Geist Fallback" w:hAnsi="Geist Fallback"/>
          <w:sz w:val="23"/>
          <w:szCs w:val="23"/>
        </w:rPr>
        <w:t xml:space="preserve"> </w:t>
      </w:r>
      <w:r>
        <w:rPr>
          <w:rStyle w:val="cursor-pointer"/>
          <w:rFonts w:ascii="Geist Fallback" w:hAnsi="Geist Fallback"/>
          <w:sz w:val="23"/>
          <w:szCs w:val="23"/>
        </w:rPr>
        <w:t>It is also considerably associated with immunomodulation.</w:t>
      </w:r>
      <w:r>
        <w:rPr>
          <w:rFonts w:ascii="Geist Fallback" w:hAnsi="Geist Fallback"/>
          <w:sz w:val="23"/>
          <w:szCs w:val="23"/>
        </w:rPr>
        <w:t xml:space="preserve"> </w:t>
      </w:r>
      <w:r>
        <w:rPr>
          <w:rStyle w:val="cursor-pointer"/>
          <w:rFonts w:ascii="Geist Fallback" w:hAnsi="Geist Fallback"/>
          <w:sz w:val="23"/>
          <w:szCs w:val="23"/>
        </w:rPr>
        <w:t xml:space="preserve">The interaction between Calc and gut microbiota is a mutual one: calcium "fosters" the activity of beneficial bacteria, such as lactobacilli (Lactobacillus spp. and Bifidobacterium </w:t>
      </w:r>
      <w:proofErr w:type="spellStart"/>
      <w:r>
        <w:rPr>
          <w:rStyle w:val="cursor-pointer"/>
          <w:rFonts w:ascii="Geist Fallback" w:hAnsi="Geist Fallback"/>
          <w:sz w:val="23"/>
          <w:szCs w:val="23"/>
        </w:rPr>
        <w:t>spp</w:t>
      </w:r>
      <w:proofErr w:type="spellEnd"/>
      <w:r>
        <w:rPr>
          <w:rStyle w:val="cursor-pointer"/>
          <w:rFonts w:ascii="Geist Fallback" w:hAnsi="Geist Fallback"/>
          <w:sz w:val="23"/>
          <w:szCs w:val="23"/>
        </w:rPr>
        <w:t xml:space="preserve">), which plays a role in immune tolerance, with </w:t>
      </w:r>
      <w:proofErr w:type="spellStart"/>
      <w:r>
        <w:rPr>
          <w:rStyle w:val="cursor-pointer"/>
          <w:rFonts w:ascii="Geist Fallback" w:hAnsi="Geist Fallback"/>
          <w:sz w:val="23"/>
          <w:szCs w:val="23"/>
        </w:rPr>
        <w:t>proflaminogenic</w:t>
      </w:r>
      <w:proofErr w:type="spellEnd"/>
      <w:r>
        <w:rPr>
          <w:rStyle w:val="cursor-pointer"/>
          <w:rFonts w:ascii="Geist Fallback" w:hAnsi="Geist Fallback"/>
          <w:sz w:val="23"/>
          <w:szCs w:val="23"/>
        </w:rPr>
        <w:t xml:space="preserve"> effects.</w:t>
      </w:r>
      <w:r>
        <w:rPr>
          <w:rFonts w:ascii="Geist Fallback" w:hAnsi="Geist Fallback"/>
          <w:sz w:val="23"/>
          <w:szCs w:val="23"/>
        </w:rPr>
        <w:t xml:space="preserve"> </w:t>
      </w:r>
      <w:r w:rsidR="0023640F">
        <w:rPr>
          <w:rFonts w:ascii="Geist Fallback" w:hAnsi="Geist Fallback"/>
          <w:sz w:val="23"/>
          <w:szCs w:val="23"/>
        </w:rPr>
        <w:t>[78]</w:t>
      </w:r>
      <w:r>
        <w:rPr>
          <w:rFonts w:ascii="Geist Fallback" w:hAnsi="Geist Fallback"/>
          <w:sz w:val="23"/>
          <w:szCs w:val="23"/>
        </w:rPr>
        <w:t>.</w:t>
      </w:r>
      <w:r w:rsidR="00A820DE">
        <w:rPr>
          <w:rFonts w:ascii="Geist Fallback" w:hAnsi="Geist Fallback"/>
          <w:sz w:val="23"/>
          <w:szCs w:val="23"/>
        </w:rPr>
        <w:t xml:space="preserve"> </w:t>
      </w:r>
      <w:r>
        <w:rPr>
          <w:rStyle w:val="cursor-pointer"/>
          <w:rFonts w:ascii="Geist Fallback" w:hAnsi="Geist Fallback"/>
          <w:sz w:val="23"/>
          <w:szCs w:val="23"/>
        </w:rPr>
        <w:t>Ca is also directly able to affect the ocular surface by its direct actions on tear secretion, which is part of the homeostatic mechanisms of the ocular surface.</w:t>
      </w:r>
      <w:r>
        <w:rPr>
          <w:rFonts w:ascii="Geist Fallback" w:hAnsi="Geist Fallback"/>
          <w:sz w:val="23"/>
          <w:szCs w:val="23"/>
        </w:rPr>
        <w:t xml:space="preserve"> </w:t>
      </w:r>
      <w:r>
        <w:rPr>
          <w:rStyle w:val="cursor-pointer"/>
          <w:rFonts w:ascii="Geist Fallback" w:hAnsi="Geist Fallback"/>
          <w:sz w:val="23"/>
          <w:szCs w:val="23"/>
        </w:rPr>
        <w:t>Sufficient calcium intake has been demonstrated to halt the progression of DES, and will be primarily beneficial for those who have other systemic conditions that affect eye health such as rheumatoid arthritis.</w:t>
      </w:r>
      <w:r>
        <w:rPr>
          <w:rFonts w:ascii="Geist Fallback" w:hAnsi="Geist Fallback"/>
          <w:sz w:val="23"/>
          <w:szCs w:val="23"/>
        </w:rPr>
        <w:t xml:space="preserve"> </w:t>
      </w:r>
      <w:r w:rsidR="006167E8">
        <w:rPr>
          <w:rFonts w:ascii="Geist Fallback" w:hAnsi="Geist Fallback"/>
          <w:sz w:val="23"/>
          <w:szCs w:val="23"/>
        </w:rPr>
        <w:t>[79]</w:t>
      </w:r>
      <w:r>
        <w:rPr>
          <w:rFonts w:ascii="Geist Fallback" w:hAnsi="Geist Fallback"/>
          <w:sz w:val="23"/>
          <w:szCs w:val="23"/>
        </w:rPr>
        <w:t>.</w:t>
      </w:r>
    </w:p>
    <w:p w14:paraId="7471FCF7" w14:textId="77777777" w:rsidR="003D3D96" w:rsidRPr="003D3D96" w:rsidRDefault="003D3D96" w:rsidP="00DB363A">
      <w:pPr>
        <w:pStyle w:val="ListParagraph"/>
        <w:spacing w:after="160" w:line="276" w:lineRule="auto"/>
        <w:ind w:left="0" w:firstLine="0"/>
        <w:contextualSpacing/>
        <w:rPr>
          <w:rFonts w:ascii="Times" w:hAnsi="Times"/>
        </w:rPr>
      </w:pPr>
    </w:p>
    <w:p w14:paraId="540294CD" w14:textId="1C829658" w:rsidR="003D3D96" w:rsidRPr="00D82470" w:rsidRDefault="003D3D96" w:rsidP="00DB363A">
      <w:pPr>
        <w:pStyle w:val="ListParagraph"/>
        <w:spacing w:after="160" w:line="276" w:lineRule="auto"/>
        <w:ind w:left="0" w:firstLine="0"/>
        <w:contextualSpacing/>
        <w:rPr>
          <w:rFonts w:ascii="Times" w:hAnsi="Times"/>
          <w:b/>
          <w:color w:val="0070C0"/>
        </w:rPr>
      </w:pPr>
      <w:r w:rsidRPr="00D82470">
        <w:rPr>
          <w:rFonts w:ascii="Times" w:hAnsi="Times"/>
          <w:b/>
          <w:color w:val="0070C0"/>
        </w:rPr>
        <w:t xml:space="preserve">7. </w:t>
      </w:r>
      <w:r w:rsidR="00DE03D8" w:rsidRPr="00D82470">
        <w:rPr>
          <w:b/>
          <w:bCs/>
          <w:color w:val="0070C0"/>
        </w:rPr>
        <w:t>ASSOCIATION BETWEEN OCULAR HEALTH AND SYSTEMIC DISEASES</w:t>
      </w:r>
    </w:p>
    <w:p w14:paraId="2AC359BC" w14:textId="77777777" w:rsidR="00DB363A" w:rsidRPr="00D82470" w:rsidRDefault="00DB363A" w:rsidP="00DB363A">
      <w:pPr>
        <w:pStyle w:val="ListParagraph"/>
        <w:spacing w:after="160" w:line="276" w:lineRule="auto"/>
        <w:ind w:left="0" w:firstLine="0"/>
        <w:contextualSpacing/>
        <w:rPr>
          <w:rFonts w:ascii="Times" w:hAnsi="Times"/>
          <w:b/>
          <w:color w:val="0070C0"/>
        </w:rPr>
      </w:pPr>
    </w:p>
    <w:p w14:paraId="3E4CE56B" w14:textId="53A4D471" w:rsidR="003D3D96" w:rsidRPr="00D82470" w:rsidRDefault="003D3D96" w:rsidP="00DB363A">
      <w:pPr>
        <w:pStyle w:val="ListParagraph"/>
        <w:spacing w:after="160" w:line="276" w:lineRule="auto"/>
        <w:ind w:left="0" w:firstLine="0"/>
        <w:contextualSpacing/>
        <w:rPr>
          <w:rFonts w:ascii="Times" w:hAnsi="Times"/>
          <w:b/>
          <w:color w:val="0070C0"/>
        </w:rPr>
      </w:pPr>
      <w:r w:rsidRPr="00D82470">
        <w:rPr>
          <w:rFonts w:ascii="Times" w:hAnsi="Times"/>
          <w:b/>
          <w:color w:val="0070C0"/>
        </w:rPr>
        <w:t xml:space="preserve">7.1 </w:t>
      </w:r>
      <w:r w:rsidR="00DE03D8" w:rsidRPr="00D82470">
        <w:rPr>
          <w:b/>
          <w:bCs/>
          <w:color w:val="0070C0"/>
        </w:rPr>
        <w:t>Link Between Gut Microbiota and Ocular Surface Diseases</w:t>
      </w:r>
    </w:p>
    <w:p w14:paraId="2EE60D0F" w14:textId="4CEC82FF" w:rsidR="003D3D96" w:rsidRPr="003D3D96" w:rsidRDefault="00DE03D8" w:rsidP="00DE03D8">
      <w:pPr>
        <w:pStyle w:val="ListParagraph"/>
        <w:spacing w:after="160"/>
        <w:ind w:left="0" w:firstLine="0"/>
        <w:contextualSpacing/>
        <w:rPr>
          <w:rFonts w:ascii="Times" w:hAnsi="Times"/>
        </w:rPr>
      </w:pPr>
      <w:r>
        <w:rPr>
          <w:rStyle w:val="cursor-pointer"/>
          <w:rFonts w:ascii="Geist Fallback" w:hAnsi="Geist Fallback"/>
          <w:sz w:val="23"/>
          <w:szCs w:val="23"/>
        </w:rPr>
        <w:t>Therefore, a gut-eye axis indicates that gut microbes may have a role in ocular health and gut dysbiosis may lead to ocular diseases.</w:t>
      </w:r>
      <w:r>
        <w:rPr>
          <w:rFonts w:ascii="Geist Fallback" w:hAnsi="Geist Fallback"/>
          <w:sz w:val="23"/>
          <w:szCs w:val="23"/>
        </w:rPr>
        <w:t xml:space="preserve"> </w:t>
      </w:r>
      <w:r>
        <w:rPr>
          <w:rStyle w:val="cursor-pointer"/>
          <w:rFonts w:ascii="Geist Fallback" w:hAnsi="Geist Fallback"/>
          <w:sz w:val="23"/>
          <w:szCs w:val="23"/>
        </w:rPr>
        <w:t>The gut microbiome is important in controlling immune responses, inflammation and systemic health, which in turn is essential for maintaining the homeostasis of the ocular surface.</w:t>
      </w:r>
      <w:r>
        <w:rPr>
          <w:rFonts w:ascii="Geist Fallback" w:hAnsi="Geist Fallback"/>
          <w:sz w:val="23"/>
          <w:szCs w:val="23"/>
        </w:rPr>
        <w:t xml:space="preserve"> </w:t>
      </w:r>
      <w:r w:rsidR="00FB4C1F">
        <w:rPr>
          <w:rFonts w:ascii="Geist Fallback" w:hAnsi="Geist Fallback"/>
          <w:sz w:val="23"/>
          <w:szCs w:val="23"/>
        </w:rPr>
        <w:t>[80]</w:t>
      </w:r>
      <w:r>
        <w:rPr>
          <w:rFonts w:ascii="Geist Fallback" w:hAnsi="Geist Fallback"/>
          <w:sz w:val="23"/>
          <w:szCs w:val="23"/>
        </w:rPr>
        <w:t>.</w:t>
      </w:r>
      <w:r w:rsidR="00FB4C1F">
        <w:rPr>
          <w:rFonts w:ascii="Geist Fallback" w:hAnsi="Geist Fallback"/>
          <w:sz w:val="23"/>
          <w:szCs w:val="23"/>
        </w:rPr>
        <w:t xml:space="preserve"> </w:t>
      </w:r>
      <w:r>
        <w:rPr>
          <w:rStyle w:val="cursor-pointer"/>
          <w:rFonts w:ascii="Geist Fallback" w:hAnsi="Geist Fallback"/>
          <w:sz w:val="23"/>
          <w:szCs w:val="23"/>
        </w:rPr>
        <w:t>Stress, disease, diet and antibiotics can disrupt the gut flora, leading to systemic inflammation that can contribute to ocular disease such as Dry Eye Disease, conjunctivitis, thyroid orbitopathy, and uveitis.</w:t>
      </w:r>
      <w:r>
        <w:rPr>
          <w:rFonts w:ascii="Geist Fallback" w:hAnsi="Geist Fallback"/>
          <w:sz w:val="23"/>
          <w:szCs w:val="23"/>
        </w:rPr>
        <w:t xml:space="preserve"> </w:t>
      </w:r>
      <w:r>
        <w:rPr>
          <w:rStyle w:val="cursor-pointer"/>
          <w:rFonts w:ascii="Geist Fallback" w:hAnsi="Geist Fallback"/>
          <w:sz w:val="23"/>
          <w:szCs w:val="23"/>
        </w:rPr>
        <w:t>Intestinal microbiota changes are linked to several diseases of the ocular surface and play a role in the regulation of systemic and local immunity via the use of metabolites produced in the gut, including SCFAs and bile acids.</w:t>
      </w:r>
      <w:r>
        <w:rPr>
          <w:rFonts w:ascii="Geist Fallback" w:hAnsi="Geist Fallback"/>
          <w:sz w:val="23"/>
          <w:szCs w:val="23"/>
        </w:rPr>
        <w:t xml:space="preserve"> </w:t>
      </w:r>
      <w:r>
        <w:rPr>
          <w:rStyle w:val="cursor-pointer"/>
          <w:rFonts w:ascii="Geist Fallback" w:hAnsi="Geist Fallback"/>
          <w:sz w:val="23"/>
          <w:szCs w:val="23"/>
        </w:rPr>
        <w:t>Pathophysiology: Gut-derived inflammatory cytokines can enter the arterial blood sufficient to reach the ocular surface, bringing about activation of T lymphocytes, macrophages and cause ocular surface inflammation.</w:t>
      </w:r>
      <w:r>
        <w:rPr>
          <w:rFonts w:ascii="Geist Fallback" w:hAnsi="Geist Fallback"/>
          <w:sz w:val="23"/>
          <w:szCs w:val="23"/>
        </w:rPr>
        <w:t xml:space="preserve"> </w:t>
      </w:r>
      <w:r>
        <w:rPr>
          <w:rStyle w:val="cursor-pointer"/>
          <w:rFonts w:ascii="Geist Fallback" w:hAnsi="Geist Fallback"/>
          <w:sz w:val="23"/>
          <w:szCs w:val="23"/>
        </w:rPr>
        <w:t xml:space="preserve">Systemic immune response that supports pro-inflammatory modification of the immune cell population and drives ocular surface disease progression may also be affected by the intestinal permeability and dysbiosis </w:t>
      </w:r>
      <w:r w:rsidR="00985E64">
        <w:rPr>
          <w:rStyle w:val="cursor-pointer"/>
          <w:rFonts w:ascii="Geist Fallback" w:hAnsi="Geist Fallback"/>
          <w:sz w:val="23"/>
          <w:szCs w:val="23"/>
        </w:rPr>
        <w:t>[81]</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Patients with autoimmune diseases, like rheumatoid arthritis and systemic lupus erythematosus, have ocular surface diseases, and dysbiosis has been linked to autoimmune diseases.</w:t>
      </w:r>
      <w:r>
        <w:rPr>
          <w:rFonts w:ascii="Geist Fallback" w:hAnsi="Geist Fallback"/>
          <w:sz w:val="23"/>
          <w:szCs w:val="23"/>
        </w:rPr>
        <w:t xml:space="preserve"> </w:t>
      </w:r>
      <w:r>
        <w:rPr>
          <w:rStyle w:val="cursor-pointer"/>
          <w:rFonts w:ascii="Geist Fallback" w:hAnsi="Geist Fallback"/>
          <w:sz w:val="23"/>
          <w:szCs w:val="23"/>
        </w:rPr>
        <w:t>Flares of disease are associated with increased levels of inflammatory cytokines such as TNF-α, IL-6 and IL-17 both in the gut and on the ocular surface.</w:t>
      </w:r>
      <w:r>
        <w:rPr>
          <w:rFonts w:ascii="Geist Fallback" w:hAnsi="Geist Fallback"/>
          <w:sz w:val="23"/>
          <w:szCs w:val="23"/>
        </w:rPr>
        <w:t xml:space="preserve"> </w:t>
      </w:r>
      <w:r>
        <w:rPr>
          <w:rStyle w:val="cursor-pointer"/>
          <w:rFonts w:ascii="Geist Fallback" w:hAnsi="Geist Fallback"/>
          <w:sz w:val="23"/>
          <w:szCs w:val="23"/>
        </w:rPr>
        <w:t xml:space="preserve">These cytokines are crucial in the pathophysiology of DED, resulting in tearing film instability, epithelial damage and conjunctiva and cornea </w:t>
      </w:r>
      <w:r>
        <w:rPr>
          <w:rStyle w:val="cursor-pointer"/>
          <w:rFonts w:ascii="Geist Fallback" w:hAnsi="Geist Fallback"/>
          <w:sz w:val="23"/>
          <w:szCs w:val="23"/>
        </w:rPr>
        <w:t xml:space="preserve">inflammation </w:t>
      </w:r>
      <w:r w:rsidR="00413E20">
        <w:rPr>
          <w:rStyle w:val="cursor-pointer"/>
          <w:rFonts w:ascii="Geist Fallback" w:hAnsi="Geist Fallback"/>
          <w:sz w:val="23"/>
          <w:szCs w:val="23"/>
        </w:rPr>
        <w:t>[82]</w:t>
      </w:r>
      <w:r>
        <w:rPr>
          <w:rStyle w:val="cursor-pointer"/>
          <w:rFonts w:ascii="Geist Fallback" w:hAnsi="Geist Fallback"/>
          <w:sz w:val="23"/>
          <w:szCs w:val="23"/>
        </w:rPr>
        <w:t>.</w:t>
      </w:r>
    </w:p>
    <w:p w14:paraId="4A8FD356" w14:textId="77777777" w:rsidR="003D3D96" w:rsidRPr="003D3D96" w:rsidRDefault="003D3D96" w:rsidP="00DB363A">
      <w:pPr>
        <w:pStyle w:val="ListParagraph"/>
        <w:spacing w:after="160" w:line="276" w:lineRule="auto"/>
        <w:ind w:left="0" w:firstLine="0"/>
        <w:contextualSpacing/>
        <w:rPr>
          <w:rFonts w:ascii="Times" w:hAnsi="Times"/>
        </w:rPr>
      </w:pPr>
    </w:p>
    <w:p w14:paraId="0AAB70BF" w14:textId="5403577D" w:rsidR="003D3D96" w:rsidRPr="00D82470" w:rsidRDefault="003D3D96" w:rsidP="00DB363A">
      <w:pPr>
        <w:pStyle w:val="ListParagraph"/>
        <w:spacing w:after="160" w:line="276" w:lineRule="auto"/>
        <w:ind w:left="0" w:firstLine="0"/>
        <w:contextualSpacing/>
        <w:rPr>
          <w:rFonts w:ascii="Times" w:hAnsi="Times"/>
          <w:b/>
          <w:color w:val="0070C0"/>
        </w:rPr>
      </w:pPr>
      <w:r w:rsidRPr="00950663">
        <w:rPr>
          <w:rFonts w:ascii="Times" w:hAnsi="Times"/>
          <w:b/>
          <w:color w:val="2E74B5" w:themeColor="accent5" w:themeShade="BF"/>
        </w:rPr>
        <w:t xml:space="preserve">7.2 </w:t>
      </w:r>
      <w:r w:rsidR="00706AF8" w:rsidRPr="00D82470">
        <w:rPr>
          <w:b/>
          <w:bCs/>
          <w:color w:val="0070C0"/>
        </w:rPr>
        <w:t>Diabetes Mellitus and Ocular Surface Disorders</w:t>
      </w:r>
    </w:p>
    <w:p w14:paraId="6F3967D9" w14:textId="560BF710" w:rsidR="00706AF8" w:rsidRPr="00A04BF7" w:rsidRDefault="00706AF8" w:rsidP="00706AF8">
      <w:pPr>
        <w:spacing w:line="240" w:lineRule="auto"/>
        <w:jc w:val="both"/>
        <w:rPr>
          <w:rFonts w:ascii="Times New Roman" w:hAnsi="Times New Roman" w:cs="Times New Roman"/>
        </w:rPr>
      </w:pPr>
      <w:r>
        <w:rPr>
          <w:rStyle w:val="cursor-pointer"/>
          <w:rFonts w:ascii="Geist Fallback" w:hAnsi="Geist Fallback"/>
          <w:sz w:val="23"/>
          <w:szCs w:val="23"/>
        </w:rPr>
        <w:t>DM, specifically when it is poorly controlled, is one of the most common systemic diseases that leads to ocular surface disorders, such as DED.</w:t>
      </w:r>
      <w:r>
        <w:rPr>
          <w:rFonts w:ascii="Geist Fallback" w:hAnsi="Geist Fallback"/>
          <w:sz w:val="23"/>
          <w:szCs w:val="23"/>
        </w:rPr>
        <w:t xml:space="preserve"> </w:t>
      </w:r>
      <w:r>
        <w:rPr>
          <w:rStyle w:val="cursor-pointer"/>
          <w:rFonts w:ascii="Geist Fallback" w:hAnsi="Geist Fallback"/>
          <w:sz w:val="23"/>
          <w:szCs w:val="23"/>
        </w:rPr>
        <w:t>Numerous studies have recorded the relationship between DM and the ocular surface diseases.</w:t>
      </w:r>
      <w:r>
        <w:rPr>
          <w:rFonts w:ascii="Geist Fallback" w:hAnsi="Geist Fallback"/>
          <w:sz w:val="23"/>
          <w:szCs w:val="23"/>
        </w:rPr>
        <w:t xml:space="preserve"> </w:t>
      </w:r>
      <w:r w:rsidR="00DB56CF">
        <w:rPr>
          <w:rFonts w:ascii="Geist Fallback" w:hAnsi="Geist Fallback"/>
          <w:sz w:val="23"/>
          <w:szCs w:val="23"/>
        </w:rPr>
        <w:t>[83]</w:t>
      </w:r>
      <w:r>
        <w:rPr>
          <w:rFonts w:ascii="Geist Fallback" w:hAnsi="Geist Fallback"/>
          <w:sz w:val="23"/>
          <w:szCs w:val="23"/>
        </w:rPr>
        <w:t>.</w:t>
      </w:r>
      <w:r w:rsidR="00744125">
        <w:rPr>
          <w:rFonts w:ascii="Geist Fallback" w:hAnsi="Geist Fallback"/>
          <w:sz w:val="23"/>
          <w:szCs w:val="23"/>
        </w:rPr>
        <w:t xml:space="preserve"> </w:t>
      </w:r>
      <w:r>
        <w:rPr>
          <w:rStyle w:val="cursor-pointer"/>
          <w:rFonts w:ascii="Geist Fallback" w:hAnsi="Geist Fallback"/>
          <w:sz w:val="23"/>
          <w:szCs w:val="23"/>
        </w:rPr>
        <w:t>Patients suffering from diabetes have been documented to be at risk for developing DED and other complications, such as diabetic retinopathy and cataracts.</w:t>
      </w:r>
      <w:r>
        <w:rPr>
          <w:rFonts w:ascii="Geist Fallback" w:hAnsi="Geist Fallback"/>
          <w:sz w:val="23"/>
          <w:szCs w:val="23"/>
        </w:rPr>
        <w:t xml:space="preserve"> </w:t>
      </w:r>
      <w:r>
        <w:rPr>
          <w:rStyle w:val="cursor-pointer"/>
          <w:rFonts w:ascii="Geist Fallback" w:hAnsi="Geist Fallback"/>
          <w:sz w:val="23"/>
          <w:szCs w:val="23"/>
        </w:rPr>
        <w:t>It is hyperglycemia-induced changes in the ocular surface and systemic inflammation are multifactorial pathophysiology in diabetic patients.</w:t>
      </w:r>
      <w:r>
        <w:rPr>
          <w:rFonts w:ascii="Geist Fallback" w:hAnsi="Geist Fallback"/>
          <w:sz w:val="23"/>
          <w:szCs w:val="23"/>
        </w:rPr>
        <w:t xml:space="preserve"> </w:t>
      </w:r>
      <w:r>
        <w:rPr>
          <w:rStyle w:val="cursor-pointer"/>
          <w:rFonts w:ascii="Geist Fallback" w:hAnsi="Geist Fallback"/>
          <w:sz w:val="23"/>
          <w:szCs w:val="23"/>
        </w:rPr>
        <w:t xml:space="preserve">Chronic hyperglycemia is the sign of DM and is considered as the etiology of DED </w:t>
      </w:r>
      <w:r w:rsidR="002B5CF7">
        <w:rPr>
          <w:rStyle w:val="cursor-pointer"/>
          <w:rFonts w:ascii="Geist Fallback" w:hAnsi="Geist Fallback"/>
          <w:sz w:val="23"/>
          <w:szCs w:val="23"/>
        </w:rPr>
        <w:t>[84]</w:t>
      </w:r>
      <w:r>
        <w:rPr>
          <w:rStyle w:val="cursor-pointer"/>
          <w:rFonts w:ascii="Geist Fallback" w:hAnsi="Geist Fallback"/>
          <w:sz w:val="23"/>
          <w:szCs w:val="23"/>
        </w:rPr>
        <w:t xml:space="preserve"> due to the alteration in tear production, tear break-up time and tear film instability.</w:t>
      </w:r>
      <w:r>
        <w:rPr>
          <w:rFonts w:ascii="Geist Fallback" w:hAnsi="Geist Fallback"/>
          <w:sz w:val="23"/>
          <w:szCs w:val="23"/>
        </w:rPr>
        <w:t xml:space="preserve"> </w:t>
      </w:r>
      <w:r>
        <w:rPr>
          <w:rStyle w:val="cursor-pointer"/>
          <w:rFonts w:ascii="Geist Fallback" w:hAnsi="Geist Fallback"/>
          <w:sz w:val="23"/>
          <w:szCs w:val="23"/>
        </w:rPr>
        <w:t>Oxidative stress and activation of inflammatory pathways are the direct effects of high glucose on the epithelial surface of the eye leading to disruption of the corneal and conjunctival epithelium.</w:t>
      </w:r>
      <w:r>
        <w:rPr>
          <w:rFonts w:ascii="Geist Fallback" w:hAnsi="Geist Fallback"/>
          <w:sz w:val="23"/>
          <w:szCs w:val="23"/>
        </w:rPr>
        <w:t xml:space="preserve"> </w:t>
      </w:r>
      <w:proofErr w:type="spellStart"/>
      <w:r>
        <w:rPr>
          <w:rStyle w:val="cursor-pointer"/>
          <w:rFonts w:ascii="Geist Fallback" w:hAnsi="Geist Fallback"/>
          <w:sz w:val="23"/>
          <w:szCs w:val="23"/>
        </w:rPr>
        <w:t>Hyperglycaemia</w:t>
      </w:r>
      <w:proofErr w:type="spellEnd"/>
      <w:r>
        <w:rPr>
          <w:rStyle w:val="cursor-pointer"/>
          <w:rFonts w:ascii="Geist Fallback" w:hAnsi="Geist Fallback"/>
          <w:sz w:val="23"/>
          <w:szCs w:val="23"/>
        </w:rPr>
        <w:t xml:space="preserve"> also affects the meibomian glands, a function that can be lost, worsening the symptoms of dry eye.</w:t>
      </w:r>
    </w:p>
    <w:p w14:paraId="3DABEFFB" w14:textId="77777777" w:rsidR="00E10515" w:rsidRPr="00A04BF7" w:rsidRDefault="003D3D96" w:rsidP="00E10515">
      <w:pPr>
        <w:spacing w:line="240" w:lineRule="auto"/>
        <w:jc w:val="both"/>
        <w:rPr>
          <w:rFonts w:ascii="Times New Roman" w:hAnsi="Times New Roman" w:cs="Times New Roman"/>
          <w:b/>
          <w:bCs/>
        </w:rPr>
      </w:pPr>
      <w:r w:rsidRPr="00B24555">
        <w:rPr>
          <w:rFonts w:ascii="Times" w:hAnsi="Times"/>
          <w:b/>
          <w:color w:val="2E74B5" w:themeColor="accent5" w:themeShade="BF"/>
        </w:rPr>
        <w:t xml:space="preserve">7.3 </w:t>
      </w:r>
      <w:r w:rsidR="00E10515" w:rsidRPr="00D82470">
        <w:rPr>
          <w:rFonts w:ascii="Times New Roman" w:hAnsi="Times New Roman" w:cs="Times New Roman"/>
          <w:b/>
          <w:bCs/>
          <w:color w:val="0070C0"/>
        </w:rPr>
        <w:t>The link between gut microbiota and diabetes</w:t>
      </w:r>
    </w:p>
    <w:p w14:paraId="3CB3A75A" w14:textId="32247743" w:rsidR="003D3D96" w:rsidRPr="003D3D96" w:rsidRDefault="00E10515" w:rsidP="00DB363A">
      <w:pPr>
        <w:pStyle w:val="ListParagraph"/>
        <w:spacing w:after="160" w:line="276" w:lineRule="auto"/>
        <w:ind w:left="0" w:firstLine="0"/>
        <w:contextualSpacing/>
        <w:rPr>
          <w:rFonts w:ascii="Times" w:hAnsi="Times"/>
        </w:rPr>
      </w:pPr>
      <w:r>
        <w:rPr>
          <w:rStyle w:val="cursor-pointer"/>
          <w:rFonts w:ascii="Geist Fallback" w:hAnsi="Geist Fallback"/>
          <w:sz w:val="23"/>
          <w:szCs w:val="23"/>
        </w:rPr>
        <w:t>Recent research identified the gut microbiome as being able to modulate metabolic and immune responses, making it a link to the development and progression of diabetes and complications of diabetes.</w:t>
      </w:r>
      <w:r>
        <w:rPr>
          <w:rFonts w:ascii="Geist Fallback" w:hAnsi="Geist Fallback"/>
          <w:sz w:val="23"/>
          <w:szCs w:val="23"/>
        </w:rPr>
        <w:t xml:space="preserve"> </w:t>
      </w:r>
      <w:r w:rsidR="00314F67">
        <w:rPr>
          <w:rFonts w:ascii="Geist Fallback" w:hAnsi="Geist Fallback"/>
          <w:sz w:val="23"/>
          <w:szCs w:val="23"/>
        </w:rPr>
        <w:t>[85-89]</w:t>
      </w:r>
      <w:r>
        <w:rPr>
          <w:rFonts w:ascii="Geist Fallback" w:hAnsi="Geist Fallback"/>
          <w:sz w:val="23"/>
          <w:szCs w:val="23"/>
        </w:rPr>
        <w:t xml:space="preserve">. </w:t>
      </w:r>
      <w:r>
        <w:rPr>
          <w:rStyle w:val="cursor-pointer"/>
          <w:rFonts w:ascii="Geist Fallback" w:hAnsi="Geist Fallback"/>
          <w:sz w:val="23"/>
          <w:szCs w:val="23"/>
        </w:rPr>
        <w:t>In diabetes, there was a change in the gut microbiome with a reduction in the diversity of microbial communities and pro-inflammatory bacteria becoming overgrown.</w:t>
      </w:r>
      <w:r>
        <w:rPr>
          <w:rFonts w:ascii="Geist Fallback" w:hAnsi="Geist Fallback"/>
          <w:sz w:val="23"/>
          <w:szCs w:val="23"/>
        </w:rPr>
        <w:t xml:space="preserve"> </w:t>
      </w:r>
      <w:r>
        <w:rPr>
          <w:rStyle w:val="cursor-pointer"/>
          <w:rFonts w:ascii="Geist Fallback" w:hAnsi="Geist Fallback"/>
          <w:sz w:val="23"/>
          <w:szCs w:val="23"/>
        </w:rPr>
        <w:t>This dysbiosis can cause inflammation throughout the body that may contribute to the inflammatory process observed in ocular surface diseases such as DED.</w:t>
      </w:r>
      <w:r>
        <w:rPr>
          <w:rFonts w:ascii="Geist Fallback" w:hAnsi="Geist Fallback"/>
          <w:sz w:val="23"/>
          <w:szCs w:val="23"/>
        </w:rPr>
        <w:t xml:space="preserve"> </w:t>
      </w:r>
      <w:r>
        <w:rPr>
          <w:rStyle w:val="cursor-pointer"/>
          <w:rFonts w:ascii="Geist Fallback" w:hAnsi="Geist Fallback"/>
          <w:sz w:val="23"/>
          <w:szCs w:val="23"/>
        </w:rPr>
        <w:t>Gut microbes could stimulate pro-inflammatory cytokines that damage the epithelium and block the production of tears.</w:t>
      </w:r>
      <w:r>
        <w:rPr>
          <w:rFonts w:ascii="Geist Fallback" w:hAnsi="Geist Fallback"/>
          <w:sz w:val="23"/>
          <w:szCs w:val="23"/>
        </w:rPr>
        <w:t xml:space="preserve"> </w:t>
      </w:r>
      <w:r>
        <w:rPr>
          <w:rStyle w:val="cursor-pointer"/>
          <w:rFonts w:ascii="Geist Fallback" w:hAnsi="Geist Fallback"/>
          <w:sz w:val="23"/>
          <w:szCs w:val="23"/>
        </w:rPr>
        <w:t>Healthy gut bacteria create anti-inflammatory SCFAs during the process of dietary fiber fermentation.</w:t>
      </w:r>
      <w:r>
        <w:rPr>
          <w:rFonts w:ascii="Geist Fallback" w:hAnsi="Geist Fallback"/>
          <w:sz w:val="23"/>
          <w:szCs w:val="23"/>
        </w:rPr>
        <w:t xml:space="preserve"> </w:t>
      </w:r>
      <w:r>
        <w:rPr>
          <w:rStyle w:val="cursor-pointer"/>
          <w:rFonts w:ascii="Geist Fallback" w:hAnsi="Geist Fallback"/>
          <w:sz w:val="23"/>
          <w:szCs w:val="23"/>
        </w:rPr>
        <w:t>Systemic inflammation and ocular surface irritation in diabetic patients are due to gut dysbiosis, which results in the loss of SCFAs.</w:t>
      </w:r>
      <w:r>
        <w:rPr>
          <w:rFonts w:ascii="Geist Fallback" w:hAnsi="Geist Fallback"/>
          <w:sz w:val="23"/>
          <w:szCs w:val="23"/>
        </w:rPr>
        <w:t xml:space="preserve"> </w:t>
      </w:r>
      <w:r>
        <w:rPr>
          <w:rStyle w:val="cursor-pointer"/>
          <w:rFonts w:ascii="Geist Fallback" w:hAnsi="Geist Fallback"/>
          <w:sz w:val="23"/>
          <w:szCs w:val="23"/>
        </w:rPr>
        <w:t xml:space="preserve">Systemic </w:t>
      </w:r>
      <w:r w:rsidRPr="00F41276">
        <w:rPr>
          <w:rStyle w:val="cursor-pointer"/>
          <w:rFonts w:ascii="Geist Fallback" w:hAnsi="Geist Fallback"/>
          <w:sz w:val="23"/>
          <w:szCs w:val="23"/>
          <w:highlight w:val="yellow"/>
        </w:rPr>
        <w:t>inflammation can be modulated by diet or probiotic supplementation which may be able to affect the ocular changes associated with diabetes such as DED.</w:t>
      </w:r>
    </w:p>
    <w:p w14:paraId="53280774" w14:textId="77777777" w:rsidR="003D3D96" w:rsidRPr="003D3D96" w:rsidRDefault="003D3D96" w:rsidP="00DB363A">
      <w:pPr>
        <w:pStyle w:val="ListParagraph"/>
        <w:spacing w:after="160" w:line="276" w:lineRule="auto"/>
        <w:ind w:left="0" w:firstLine="0"/>
        <w:contextualSpacing/>
        <w:rPr>
          <w:rFonts w:ascii="Times" w:hAnsi="Times"/>
        </w:rPr>
      </w:pPr>
    </w:p>
    <w:p w14:paraId="2AEC7B7C" w14:textId="77777777" w:rsidR="005351AC" w:rsidRPr="00335341" w:rsidRDefault="003D3D96" w:rsidP="005351AC">
      <w:pPr>
        <w:spacing w:line="240" w:lineRule="auto"/>
        <w:jc w:val="both"/>
        <w:rPr>
          <w:rFonts w:ascii="Times New Roman" w:hAnsi="Times New Roman" w:cs="Times New Roman"/>
          <w:b/>
          <w:bCs/>
          <w:color w:val="0070C0"/>
        </w:rPr>
      </w:pPr>
      <w:r w:rsidRPr="00335341">
        <w:rPr>
          <w:rFonts w:ascii="Times" w:hAnsi="Times"/>
          <w:b/>
          <w:color w:val="0070C0"/>
        </w:rPr>
        <w:t xml:space="preserve">7.4 </w:t>
      </w:r>
      <w:r w:rsidR="005351AC" w:rsidRPr="00335341">
        <w:rPr>
          <w:rFonts w:ascii="Times New Roman" w:hAnsi="Times New Roman" w:cs="Times New Roman"/>
          <w:b/>
          <w:bCs/>
          <w:color w:val="0070C0"/>
        </w:rPr>
        <w:t>Role of Gut Microbiota in Disease Development</w:t>
      </w:r>
    </w:p>
    <w:p w14:paraId="1E7BCA39" w14:textId="446D107D" w:rsidR="00824FA6" w:rsidRPr="00824FA6" w:rsidRDefault="00824FA6" w:rsidP="00824FA6">
      <w:pPr>
        <w:spacing w:line="240" w:lineRule="auto"/>
        <w:jc w:val="both"/>
        <w:rPr>
          <w:rFonts w:ascii="Times New Roman" w:hAnsi="Times New Roman" w:cs="Times New Roman"/>
          <w:b/>
          <w:bCs/>
          <w:color w:val="0070C0"/>
        </w:rPr>
      </w:pPr>
      <w:r w:rsidRPr="00824FA6">
        <w:rPr>
          <w:rFonts w:ascii="Times New Roman" w:hAnsi="Times New Roman" w:cs="Times New Roman"/>
          <w:b/>
          <w:bCs/>
          <w:i/>
          <w:iCs/>
          <w:color w:val="0070C0"/>
        </w:rPr>
        <w:t xml:space="preserve">7.4.1 Thyroid Orbitopathy </w:t>
      </w:r>
      <w:r w:rsidRPr="00824FA6">
        <w:rPr>
          <w:rFonts w:ascii="Times New Roman" w:hAnsi="Times New Roman" w:cs="Times New Roman"/>
          <w:b/>
          <w:bCs/>
          <w:color w:val="0070C0"/>
        </w:rPr>
        <w:t>(TO)</w:t>
      </w:r>
    </w:p>
    <w:p w14:paraId="4FAA7E0B" w14:textId="28D9820D" w:rsidR="00824FA6" w:rsidRDefault="00824FA6" w:rsidP="00824FA6">
      <w:pPr>
        <w:spacing w:line="240" w:lineRule="auto"/>
        <w:jc w:val="both"/>
        <w:rPr>
          <w:rFonts w:ascii="Times New Roman" w:hAnsi="Times New Roman" w:cs="Times New Roman"/>
        </w:rPr>
      </w:pPr>
      <w:r>
        <w:rPr>
          <w:rStyle w:val="cursor-pointer"/>
          <w:rFonts w:ascii="Geist Fallback" w:hAnsi="Geist Fallback"/>
          <w:sz w:val="23"/>
          <w:szCs w:val="23"/>
        </w:rPr>
        <w:lastRenderedPageBreak/>
        <w:t>Thyroid orbitopathy, also known as Graves' orbitopathy or thyroid-associated ophthalmopathy (TAO), is an autoimmune disease that involves the orbit and the ocular tissues, resulting in inflammation and swelling.</w:t>
      </w:r>
      <w:r>
        <w:rPr>
          <w:rFonts w:ascii="Geist Fallback" w:hAnsi="Geist Fallback"/>
          <w:sz w:val="23"/>
          <w:szCs w:val="23"/>
        </w:rPr>
        <w:t xml:space="preserve"> </w:t>
      </w:r>
      <w:r>
        <w:rPr>
          <w:rStyle w:val="cursor-pointer"/>
          <w:rFonts w:ascii="Geist Fallback" w:hAnsi="Geist Fallback"/>
          <w:sz w:val="23"/>
          <w:szCs w:val="23"/>
        </w:rPr>
        <w:t>At worst, it can cause the eyeball to protrude and loss of sight</w:t>
      </w:r>
      <w:r>
        <w:rPr>
          <w:rFonts w:ascii="Geist Fallback" w:hAnsi="Geist Fallback"/>
          <w:sz w:val="23"/>
          <w:szCs w:val="23"/>
        </w:rPr>
        <w:t xml:space="preserve"> </w:t>
      </w:r>
      <w:r w:rsidR="006F6498">
        <w:rPr>
          <w:rFonts w:ascii="Geist Fallback" w:hAnsi="Geist Fallback"/>
          <w:sz w:val="23"/>
          <w:szCs w:val="23"/>
        </w:rPr>
        <w:t>[90]</w:t>
      </w:r>
      <w:r>
        <w:rPr>
          <w:rFonts w:ascii="Geist Fallback" w:hAnsi="Geist Fallback"/>
          <w:sz w:val="23"/>
          <w:szCs w:val="23"/>
        </w:rPr>
        <w:t xml:space="preserve">. </w:t>
      </w:r>
      <w:r>
        <w:rPr>
          <w:rStyle w:val="cursor-pointer"/>
          <w:rFonts w:ascii="Geist Fallback" w:hAnsi="Geist Fallback"/>
          <w:sz w:val="23"/>
          <w:szCs w:val="23"/>
        </w:rPr>
        <w:t>TO is usually associated with hyperthyroid patients, but can also occur with hypothyroid and euthyroid patients.</w:t>
      </w:r>
      <w:r>
        <w:rPr>
          <w:rFonts w:ascii="Geist Fallback" w:hAnsi="Geist Fallback"/>
          <w:sz w:val="23"/>
          <w:szCs w:val="23"/>
        </w:rPr>
        <w:t xml:space="preserve"> </w:t>
      </w:r>
      <w:r>
        <w:rPr>
          <w:rStyle w:val="cursor-pointer"/>
          <w:rFonts w:ascii="Geist Fallback" w:hAnsi="Geist Fallback"/>
          <w:sz w:val="23"/>
          <w:szCs w:val="23"/>
        </w:rPr>
        <w:t xml:space="preserve">TO triggers inflammation and swelling of extraocular muscles and </w:t>
      </w:r>
      <w:proofErr w:type="spellStart"/>
      <w:r>
        <w:rPr>
          <w:rStyle w:val="cursor-pointer"/>
          <w:rFonts w:ascii="Geist Fallback" w:hAnsi="Geist Fallback"/>
          <w:sz w:val="23"/>
          <w:szCs w:val="23"/>
        </w:rPr>
        <w:t>retino</w:t>
      </w:r>
      <w:proofErr w:type="spellEnd"/>
      <w:r>
        <w:rPr>
          <w:rStyle w:val="cursor-pointer"/>
          <w:rFonts w:ascii="Geist Fallback" w:hAnsi="Geist Fallback"/>
          <w:sz w:val="23"/>
          <w:szCs w:val="23"/>
        </w:rPr>
        <w:t xml:space="preserve">-orbital tissues as a result of inflammation of the immune system and auto-immunity against orbital fibroblasts and </w:t>
      </w:r>
      <w:proofErr w:type="spellStart"/>
      <w:r>
        <w:rPr>
          <w:rStyle w:val="cursor-pointer"/>
          <w:rFonts w:ascii="Geist Fallback" w:hAnsi="Geist Fallback"/>
          <w:sz w:val="23"/>
          <w:szCs w:val="23"/>
        </w:rPr>
        <w:t>retino</w:t>
      </w:r>
      <w:proofErr w:type="spellEnd"/>
      <w:r>
        <w:rPr>
          <w:rStyle w:val="cursor-pointer"/>
          <w:rFonts w:ascii="Geist Fallback" w:hAnsi="Geist Fallback"/>
          <w:sz w:val="23"/>
          <w:szCs w:val="23"/>
        </w:rPr>
        <w:t>-orbital tissues.</w:t>
      </w:r>
      <w:r>
        <w:rPr>
          <w:rFonts w:ascii="Geist Fallback" w:hAnsi="Geist Fallback"/>
          <w:sz w:val="23"/>
          <w:szCs w:val="23"/>
        </w:rPr>
        <w:t xml:space="preserve"> </w:t>
      </w:r>
      <w:r>
        <w:rPr>
          <w:rStyle w:val="cursor-pointer"/>
          <w:rFonts w:ascii="Geist Fallback" w:hAnsi="Geist Fallback"/>
          <w:sz w:val="23"/>
          <w:szCs w:val="23"/>
        </w:rPr>
        <w:t>Recent studies indicate that gut microbiota could be a key player in the development and progression of TO</w:t>
      </w:r>
      <w:r>
        <w:rPr>
          <w:rFonts w:ascii="Geist Fallback" w:hAnsi="Geist Fallback"/>
          <w:sz w:val="23"/>
          <w:szCs w:val="23"/>
        </w:rPr>
        <w:t xml:space="preserve"> </w:t>
      </w:r>
      <w:r w:rsidR="006F6498">
        <w:rPr>
          <w:rFonts w:ascii="Geist Fallback" w:hAnsi="Geist Fallback"/>
          <w:sz w:val="23"/>
          <w:szCs w:val="23"/>
        </w:rPr>
        <w:t>[91]</w:t>
      </w:r>
      <w:r>
        <w:rPr>
          <w:rFonts w:ascii="Geist Fallback" w:hAnsi="Geist Fallback"/>
          <w:sz w:val="23"/>
          <w:szCs w:val="23"/>
        </w:rPr>
        <w:t>.</w:t>
      </w:r>
      <w:r w:rsidR="006F6498">
        <w:rPr>
          <w:rFonts w:ascii="Geist Fallback" w:hAnsi="Geist Fallback"/>
          <w:sz w:val="23"/>
          <w:szCs w:val="23"/>
        </w:rPr>
        <w:t xml:space="preserve"> </w:t>
      </w:r>
      <w:r>
        <w:rPr>
          <w:rStyle w:val="cursor-pointer"/>
          <w:rFonts w:ascii="Geist Fallback" w:hAnsi="Geist Fallback"/>
          <w:sz w:val="23"/>
          <w:szCs w:val="23"/>
        </w:rPr>
        <w:t>The gut microbiome-immune system interaction is critical to autoimmune diseases and patients with thyroid disease have dysbiosis.</w:t>
      </w:r>
      <w:r>
        <w:rPr>
          <w:rFonts w:ascii="Geist Fallback" w:hAnsi="Geist Fallback"/>
          <w:sz w:val="23"/>
          <w:szCs w:val="23"/>
        </w:rPr>
        <w:t xml:space="preserve"> </w:t>
      </w:r>
      <w:r>
        <w:rPr>
          <w:rStyle w:val="cursor-pointer"/>
          <w:rFonts w:ascii="Geist Fallback" w:hAnsi="Geist Fallback"/>
          <w:sz w:val="23"/>
          <w:szCs w:val="23"/>
        </w:rPr>
        <w:t>The imbalance in the gut microbiota could alter the immune response and trigger the activation of auto-reactive T lymphocytes against orbital tissue in thyroid orbitopathy</w:t>
      </w:r>
      <w:r w:rsidRPr="00A04BF7">
        <w:rPr>
          <w:rFonts w:ascii="Times New Roman" w:hAnsi="Times New Roman" w:cs="Times New Roman"/>
        </w:rPr>
        <w:t xml:space="preserve">. </w:t>
      </w:r>
    </w:p>
    <w:p w14:paraId="2601D254" w14:textId="303A826E" w:rsidR="00824FA6" w:rsidRPr="00824FA6" w:rsidRDefault="00824FA6" w:rsidP="00824FA6">
      <w:pPr>
        <w:spacing w:line="240" w:lineRule="auto"/>
        <w:jc w:val="both"/>
        <w:rPr>
          <w:rFonts w:ascii="Times New Roman" w:hAnsi="Times New Roman" w:cs="Times New Roman"/>
        </w:rPr>
      </w:pPr>
      <w:r w:rsidRPr="00A04BF7">
        <w:rPr>
          <w:rFonts w:ascii="Times New Roman" w:hAnsi="Times New Roman" w:cs="Times New Roman"/>
        </w:rPr>
        <w:br/>
      </w:r>
      <w:r w:rsidRPr="00824FA6">
        <w:rPr>
          <w:rFonts w:ascii="Times New Roman" w:hAnsi="Times New Roman" w:cs="Times New Roman"/>
          <w:b/>
          <w:bCs/>
          <w:i/>
          <w:iCs/>
          <w:color w:val="0070C0"/>
        </w:rPr>
        <w:t>7.4.2 Gut Microbiota and Autoimmunity</w:t>
      </w:r>
    </w:p>
    <w:p w14:paraId="2EEEB0EA" w14:textId="1CF244E1" w:rsidR="00824FA6" w:rsidRDefault="00824FA6" w:rsidP="00824FA6">
      <w:pPr>
        <w:spacing w:line="240" w:lineRule="auto"/>
        <w:jc w:val="both"/>
        <w:rPr>
          <w:rStyle w:val="cursor-pointer"/>
          <w:rFonts w:ascii="Geist Fallback" w:hAnsi="Geist Fallback"/>
          <w:sz w:val="23"/>
          <w:szCs w:val="23"/>
        </w:rPr>
      </w:pPr>
      <w:r>
        <w:rPr>
          <w:rStyle w:val="cursor-pointer"/>
          <w:rFonts w:ascii="Geist Fallback" w:hAnsi="Geist Fallback"/>
          <w:sz w:val="23"/>
          <w:szCs w:val="23"/>
        </w:rPr>
        <w:t xml:space="preserve">Gut dysbiosis will activate inflammatory cascades and immune cells that will result in autoimmune disorders </w:t>
      </w:r>
      <w:r w:rsidR="00D90279">
        <w:rPr>
          <w:rStyle w:val="cursor-pointer"/>
          <w:rFonts w:ascii="Geist Fallback" w:hAnsi="Geist Fallback"/>
          <w:sz w:val="23"/>
          <w:szCs w:val="23"/>
        </w:rPr>
        <w:t>[92]</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The metabolites produced by the gut microbiota, such as SCFAs and bile acids, could impact the development of T helper and regulatory T cells, both of which play a role in autoimmune diseases.</w:t>
      </w:r>
      <w:r>
        <w:rPr>
          <w:rFonts w:ascii="Geist Fallback" w:hAnsi="Geist Fallback"/>
          <w:sz w:val="23"/>
          <w:szCs w:val="23"/>
        </w:rPr>
        <w:t xml:space="preserve"> </w:t>
      </w:r>
      <w:r>
        <w:rPr>
          <w:rStyle w:val="cursor-pointer"/>
          <w:rFonts w:ascii="Geist Fallback" w:hAnsi="Geist Fallback"/>
          <w:sz w:val="23"/>
          <w:szCs w:val="23"/>
        </w:rPr>
        <w:t>Short chain fatty acid (SCFAs) including butyrate affect the phenotype and immunological tolerance of T cells and could be involved in the development of autoimmune disease.</w:t>
      </w:r>
      <w:r>
        <w:rPr>
          <w:rFonts w:ascii="Geist Fallback" w:hAnsi="Geist Fallback"/>
          <w:sz w:val="23"/>
          <w:szCs w:val="23"/>
        </w:rPr>
        <w:t xml:space="preserve"> </w:t>
      </w:r>
      <w:r>
        <w:rPr>
          <w:rStyle w:val="cursor-pointer"/>
          <w:rFonts w:ascii="Geist Fallback" w:hAnsi="Geist Fallback"/>
          <w:sz w:val="23"/>
          <w:szCs w:val="23"/>
        </w:rPr>
        <w:t>Such a change in gut microbiome increases gut permeability, further increases systemic inflammation, and permits the autoreactive immune T-cells in the gut to access the ocular tissues.</w:t>
      </w:r>
      <w:r>
        <w:rPr>
          <w:rFonts w:ascii="Geist Fallback" w:hAnsi="Geist Fallback"/>
          <w:sz w:val="23"/>
          <w:szCs w:val="23"/>
        </w:rPr>
        <w:t xml:space="preserve"> </w:t>
      </w:r>
      <w:r w:rsidR="00EB4D1C">
        <w:rPr>
          <w:rStyle w:val="cursor-pointer"/>
          <w:rFonts w:ascii="Geist Fallback" w:hAnsi="Geist Fallback"/>
          <w:sz w:val="23"/>
          <w:szCs w:val="23"/>
        </w:rPr>
        <w:t>[93]</w:t>
      </w:r>
      <w:r>
        <w:rPr>
          <w:rStyle w:val="cursor-pointer"/>
          <w:rFonts w:ascii="Geist Fallback" w:hAnsi="Geist Fallback"/>
          <w:sz w:val="23"/>
          <w:szCs w:val="23"/>
        </w:rPr>
        <w:t>.</w:t>
      </w:r>
    </w:p>
    <w:p w14:paraId="1BFD9D3C" w14:textId="6E58B4EA" w:rsidR="00A646B8" w:rsidRPr="00986993" w:rsidRDefault="00A646B8" w:rsidP="00A646B8">
      <w:pPr>
        <w:spacing w:line="240" w:lineRule="auto"/>
        <w:jc w:val="both"/>
        <w:rPr>
          <w:rFonts w:ascii="Times New Roman" w:hAnsi="Times New Roman" w:cs="Times New Roman"/>
          <w:b/>
          <w:bCs/>
          <w:color w:val="0070C0"/>
        </w:rPr>
      </w:pPr>
      <w:r w:rsidRPr="00986993">
        <w:rPr>
          <w:rFonts w:ascii="Times New Roman" w:hAnsi="Times New Roman" w:cs="Times New Roman"/>
          <w:b/>
          <w:bCs/>
          <w:color w:val="0070C0"/>
        </w:rPr>
        <w:t>7.5 Gut-Thyroid Connection</w:t>
      </w:r>
    </w:p>
    <w:p w14:paraId="6B85C1FD" w14:textId="145CFAB6" w:rsidR="00A646B8" w:rsidRPr="00A04BF7" w:rsidRDefault="00A646B8" w:rsidP="00A646B8">
      <w:pPr>
        <w:spacing w:line="240" w:lineRule="auto"/>
        <w:jc w:val="both"/>
        <w:rPr>
          <w:rFonts w:ascii="Times New Roman" w:hAnsi="Times New Roman" w:cs="Times New Roman"/>
        </w:rPr>
      </w:pPr>
      <w:r>
        <w:rPr>
          <w:rStyle w:val="cursor-pointer"/>
          <w:rFonts w:ascii="Geist Fallback" w:hAnsi="Geist Fallback"/>
          <w:sz w:val="23"/>
          <w:szCs w:val="23"/>
        </w:rPr>
        <w:t>Gut health influences production of the thyroid hormones and thus, there is an impact of gut-derived metabolites and microbiota on the thyroid gland.</w:t>
      </w:r>
      <w:r>
        <w:rPr>
          <w:rFonts w:ascii="Geist Fallback" w:hAnsi="Geist Fallback"/>
          <w:sz w:val="23"/>
          <w:szCs w:val="23"/>
        </w:rPr>
        <w:t xml:space="preserve"> </w:t>
      </w:r>
      <w:r>
        <w:rPr>
          <w:rStyle w:val="cursor-pointer"/>
          <w:rFonts w:ascii="Geist Fallback" w:hAnsi="Geist Fallback"/>
          <w:sz w:val="23"/>
          <w:szCs w:val="23"/>
        </w:rPr>
        <w:t>Growing body of evidence indicating a relationship between gut microbes and thyroid function.</w:t>
      </w:r>
      <w:r>
        <w:rPr>
          <w:rFonts w:ascii="Geist Fallback" w:hAnsi="Geist Fallback"/>
          <w:sz w:val="23"/>
          <w:szCs w:val="23"/>
        </w:rPr>
        <w:t xml:space="preserve"> </w:t>
      </w:r>
      <w:r>
        <w:rPr>
          <w:rStyle w:val="cursor-pointer"/>
          <w:rFonts w:ascii="Geist Fallback" w:hAnsi="Geist Fallback"/>
          <w:sz w:val="23"/>
          <w:szCs w:val="23"/>
        </w:rPr>
        <w:t>Mechanisms wherein gut microbiota could interfere with thyroid function have also been proposed, mainly related to pathways in the metabolism of iodine, a key precursor for the synthesis of thyroid hormone.</w:t>
      </w:r>
      <w:r>
        <w:rPr>
          <w:rFonts w:ascii="Geist Fallback" w:hAnsi="Geist Fallback"/>
          <w:sz w:val="23"/>
          <w:szCs w:val="23"/>
        </w:rPr>
        <w:t xml:space="preserve"> </w:t>
      </w:r>
      <w:r>
        <w:rPr>
          <w:rStyle w:val="cursor-pointer"/>
          <w:rFonts w:ascii="Geist Fallback" w:hAnsi="Geist Fallback"/>
          <w:sz w:val="23"/>
          <w:szCs w:val="23"/>
        </w:rPr>
        <w:t>The relationship between the intestinal state and the activities of the thyroid could be a factor that predisposes to the onset of sickness.</w:t>
      </w:r>
      <w:r>
        <w:rPr>
          <w:rFonts w:ascii="Geist Fallback" w:hAnsi="Geist Fallback"/>
          <w:sz w:val="23"/>
          <w:szCs w:val="23"/>
        </w:rPr>
        <w:t xml:space="preserve"> </w:t>
      </w:r>
      <w:r>
        <w:rPr>
          <w:rStyle w:val="cursor-pointer"/>
          <w:rFonts w:ascii="Geist Fallback" w:hAnsi="Geist Fallback"/>
          <w:sz w:val="23"/>
          <w:szCs w:val="23"/>
        </w:rPr>
        <w:t xml:space="preserve">Thyroid autoimmunity may worsen the disease by the proinflammatory mediators that might be produced in the gut </w:t>
      </w:r>
      <w:r w:rsidR="00E24433">
        <w:rPr>
          <w:rStyle w:val="cursor-pointer"/>
          <w:rFonts w:ascii="Geist Fallback" w:hAnsi="Geist Fallback"/>
          <w:sz w:val="23"/>
          <w:szCs w:val="23"/>
        </w:rPr>
        <w:t>[94]</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 xml:space="preserve">The role of gut microbiome in thyroid orbitopathy is thus an area of active </w:t>
      </w:r>
      <w:r>
        <w:rPr>
          <w:rStyle w:val="cursor-pointer"/>
          <w:rFonts w:ascii="Geist Fallback" w:hAnsi="Geist Fallback"/>
          <w:sz w:val="23"/>
          <w:szCs w:val="23"/>
        </w:rPr>
        <w:t>research.</w:t>
      </w:r>
      <w:r>
        <w:rPr>
          <w:rFonts w:ascii="Geist Fallback" w:hAnsi="Geist Fallback"/>
          <w:sz w:val="23"/>
          <w:szCs w:val="23"/>
        </w:rPr>
        <w:t xml:space="preserve"> </w:t>
      </w:r>
      <w:r>
        <w:rPr>
          <w:rStyle w:val="cursor-pointer"/>
          <w:rFonts w:ascii="Geist Fallback" w:hAnsi="Geist Fallback"/>
          <w:sz w:val="23"/>
          <w:szCs w:val="23"/>
        </w:rPr>
        <w:t xml:space="preserve">Diet or probiotics may modify gut microbiota, which in turn could impact inflammation and immune activation as a hallmark of the disease pathogenesis of thyroid orbitopathy and provide novel therapeutic avenues for this debilitating disease </w:t>
      </w:r>
      <w:r w:rsidR="003E50FB">
        <w:rPr>
          <w:rStyle w:val="cursor-pointer"/>
          <w:rFonts w:ascii="Geist Fallback" w:hAnsi="Geist Fallback"/>
          <w:sz w:val="23"/>
          <w:szCs w:val="23"/>
        </w:rPr>
        <w:t>[95]</w:t>
      </w:r>
      <w:r>
        <w:rPr>
          <w:rStyle w:val="cursor-pointer"/>
          <w:rFonts w:ascii="Geist Fallback" w:hAnsi="Geist Fallback"/>
          <w:sz w:val="23"/>
          <w:szCs w:val="23"/>
        </w:rPr>
        <w:t>.</w:t>
      </w:r>
    </w:p>
    <w:p w14:paraId="04B7D89C" w14:textId="77777777" w:rsidR="00A646B8" w:rsidRPr="00A53474" w:rsidRDefault="00A646B8" w:rsidP="00824FA6">
      <w:pPr>
        <w:spacing w:line="240" w:lineRule="auto"/>
        <w:jc w:val="both"/>
        <w:rPr>
          <w:rFonts w:ascii="Times New Roman" w:hAnsi="Times New Roman" w:cs="Times New Roman"/>
        </w:rPr>
      </w:pPr>
    </w:p>
    <w:p w14:paraId="60630BD0" w14:textId="77777777" w:rsidR="00A646B8" w:rsidRPr="0006470E" w:rsidRDefault="003D3D96" w:rsidP="00A646B8">
      <w:pPr>
        <w:spacing w:line="240" w:lineRule="auto"/>
        <w:jc w:val="both"/>
        <w:rPr>
          <w:rFonts w:ascii="Times New Roman" w:hAnsi="Times New Roman" w:cs="Times New Roman"/>
          <w:b/>
          <w:bCs/>
          <w:color w:val="0070C0"/>
        </w:rPr>
      </w:pPr>
      <w:r w:rsidRPr="00B24555">
        <w:rPr>
          <w:rFonts w:ascii="Times" w:hAnsi="Times"/>
          <w:b/>
          <w:color w:val="2E74B5" w:themeColor="accent5" w:themeShade="BF"/>
        </w:rPr>
        <w:t xml:space="preserve">8. </w:t>
      </w:r>
      <w:r w:rsidR="00A646B8" w:rsidRPr="0006470E">
        <w:rPr>
          <w:rFonts w:ascii="Times New Roman" w:hAnsi="Times New Roman" w:cs="Times New Roman"/>
          <w:b/>
          <w:bCs/>
          <w:color w:val="0070C0"/>
        </w:rPr>
        <w:t>DIETARY INTERVENTION AND MANAGEMENT OF DRY EYE DISEASE (DED)</w:t>
      </w:r>
    </w:p>
    <w:p w14:paraId="38AECABB" w14:textId="77777777" w:rsidR="00A646B8" w:rsidRPr="0006470E" w:rsidRDefault="00A646B8" w:rsidP="00A646B8">
      <w:pPr>
        <w:spacing w:line="240" w:lineRule="auto"/>
        <w:jc w:val="both"/>
        <w:rPr>
          <w:rFonts w:ascii="Times New Roman" w:hAnsi="Times New Roman" w:cs="Times New Roman"/>
          <w:b/>
          <w:bCs/>
          <w:color w:val="0070C0"/>
        </w:rPr>
      </w:pPr>
      <w:r w:rsidRPr="0006470E">
        <w:rPr>
          <w:rFonts w:ascii="Times" w:hAnsi="Times"/>
          <w:b/>
          <w:color w:val="0070C0"/>
        </w:rPr>
        <w:t xml:space="preserve">8.1 </w:t>
      </w:r>
      <w:r w:rsidRPr="0006470E">
        <w:rPr>
          <w:rFonts w:ascii="Times New Roman" w:hAnsi="Times New Roman" w:cs="Times New Roman"/>
          <w:b/>
          <w:bCs/>
          <w:color w:val="0070C0"/>
        </w:rPr>
        <w:t>Effect of Diet on Dry Eye Syndrome</w:t>
      </w:r>
    </w:p>
    <w:p w14:paraId="0E0A0908" w14:textId="5DDB8D5D" w:rsidR="00A646B8" w:rsidRPr="00A04BF7" w:rsidRDefault="00A646B8" w:rsidP="00A646B8">
      <w:pPr>
        <w:spacing w:line="240" w:lineRule="auto"/>
        <w:jc w:val="both"/>
        <w:rPr>
          <w:rFonts w:ascii="Times New Roman" w:hAnsi="Times New Roman" w:cs="Times New Roman"/>
        </w:rPr>
      </w:pPr>
      <w:r>
        <w:rPr>
          <w:rStyle w:val="cursor-pointer"/>
          <w:rFonts w:ascii="Geist Fallback" w:hAnsi="Geist Fallback"/>
          <w:sz w:val="23"/>
          <w:szCs w:val="23"/>
        </w:rPr>
        <w:t>A healthy diet is essential for a healthy body and a fascinating article on more studies has indicated that diet can also affect development and treatment of eye diseases like Dry Eye Disease.</w:t>
      </w:r>
      <w:r>
        <w:rPr>
          <w:rFonts w:ascii="Geist Fallback" w:hAnsi="Geist Fallback"/>
          <w:sz w:val="23"/>
          <w:szCs w:val="23"/>
        </w:rPr>
        <w:t xml:space="preserve"> </w:t>
      </w:r>
      <w:r>
        <w:rPr>
          <w:rStyle w:val="cursor-pointer"/>
          <w:rFonts w:ascii="Geist Fallback" w:hAnsi="Geist Fallback"/>
          <w:sz w:val="23"/>
          <w:szCs w:val="23"/>
        </w:rPr>
        <w:t xml:space="preserve">Systemic inflammation, oxidative stress and metabolic pathway modifications caused by diet easily influence the tear film and ocular surface </w:t>
      </w:r>
      <w:r w:rsidR="003F7F11">
        <w:rPr>
          <w:rStyle w:val="cursor-pointer"/>
          <w:rFonts w:ascii="Geist Fallback" w:hAnsi="Geist Fallback"/>
          <w:sz w:val="23"/>
          <w:szCs w:val="23"/>
        </w:rPr>
        <w:t>[96]</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Recent research suggests that inflammatory foods or foods that alter gut microbiota can worsen DED, and anti-inflammatory foods and eye health promoting nutrients could be beneficial.</w:t>
      </w:r>
      <w:r>
        <w:rPr>
          <w:rFonts w:ascii="Geist Fallback" w:hAnsi="Geist Fallback"/>
          <w:sz w:val="23"/>
          <w:szCs w:val="23"/>
        </w:rPr>
        <w:t xml:space="preserve"> </w:t>
      </w:r>
      <w:r>
        <w:rPr>
          <w:rStyle w:val="cursor-pointer"/>
          <w:rFonts w:ascii="Geist Fallback" w:hAnsi="Geist Fallback"/>
          <w:sz w:val="23"/>
          <w:szCs w:val="23"/>
        </w:rPr>
        <w:t>If following a Western diet plan, a diet rich in processed foods, sugars and omega-6 fatty acids may increase pro-inflammatory cytokines.</w:t>
      </w:r>
      <w:r>
        <w:rPr>
          <w:rFonts w:ascii="Geist Fallback" w:hAnsi="Geist Fallback"/>
          <w:sz w:val="23"/>
          <w:szCs w:val="23"/>
        </w:rPr>
        <w:t xml:space="preserve"> </w:t>
      </w:r>
      <w:r>
        <w:rPr>
          <w:rStyle w:val="cursor-pointer"/>
          <w:rFonts w:ascii="Geist Fallback" w:hAnsi="Geist Fallback"/>
          <w:sz w:val="23"/>
          <w:szCs w:val="23"/>
        </w:rPr>
        <w:t xml:space="preserve">Such immunity-inducing diet can lead to exacerbation of chronic systemic inflammatory diseases like DED </w:t>
      </w:r>
      <w:r w:rsidR="00150717">
        <w:rPr>
          <w:rStyle w:val="cursor-pointer"/>
          <w:rFonts w:ascii="Geist Fallback" w:hAnsi="Geist Fallback"/>
          <w:sz w:val="23"/>
          <w:szCs w:val="23"/>
        </w:rPr>
        <w:t>[97]</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Anti-inflammatory diets (such as omega-3 fatty acid, antioxidants and fiber) have been shown to have a beneficial effect on the ocular surface and DED symptoms, in contrast.</w:t>
      </w:r>
      <w:r>
        <w:rPr>
          <w:rFonts w:ascii="Geist Fallback" w:hAnsi="Geist Fallback"/>
          <w:sz w:val="23"/>
          <w:szCs w:val="23"/>
        </w:rPr>
        <w:t xml:space="preserve"> </w:t>
      </w:r>
      <w:r>
        <w:rPr>
          <w:rStyle w:val="cursor-pointer"/>
          <w:rFonts w:ascii="Geist Fallback" w:hAnsi="Geist Fallback"/>
          <w:sz w:val="23"/>
          <w:szCs w:val="23"/>
        </w:rPr>
        <w:t>Omega-3 fatty acids are known to be anti-inflammatory, and the association of diet and DED is related to it.</w:t>
      </w:r>
      <w:r>
        <w:rPr>
          <w:rFonts w:ascii="Geist Fallback" w:hAnsi="Geist Fallback"/>
          <w:sz w:val="23"/>
          <w:szCs w:val="23"/>
        </w:rPr>
        <w:t xml:space="preserve"> </w:t>
      </w:r>
      <w:r>
        <w:rPr>
          <w:rStyle w:val="cursor-pointer"/>
          <w:rFonts w:ascii="Geist Fallback" w:hAnsi="Geist Fallback"/>
          <w:sz w:val="23"/>
          <w:szCs w:val="23"/>
        </w:rPr>
        <w:t xml:space="preserve">EPA and DHA are the two primary types of omega-3s </w:t>
      </w:r>
      <w:r w:rsidR="00DB4D3C">
        <w:rPr>
          <w:rStyle w:val="cursor-pointer"/>
          <w:rFonts w:ascii="Geist Fallback" w:hAnsi="Geist Fallback"/>
          <w:sz w:val="23"/>
          <w:szCs w:val="23"/>
        </w:rPr>
        <w:t>[98]</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 xml:space="preserve">They regulate pro-inflammatory cytokines, make up the tear film and </w:t>
      </w:r>
      <w:proofErr w:type="spellStart"/>
      <w:r>
        <w:rPr>
          <w:rStyle w:val="cursor-pointer"/>
          <w:rFonts w:ascii="Geist Fallback" w:hAnsi="Geist Fallback"/>
          <w:sz w:val="23"/>
          <w:szCs w:val="23"/>
        </w:rPr>
        <w:t>mybomian</w:t>
      </w:r>
      <w:proofErr w:type="spellEnd"/>
      <w:r>
        <w:rPr>
          <w:rStyle w:val="cursor-pointer"/>
          <w:rFonts w:ascii="Geist Fallback" w:hAnsi="Geist Fallback"/>
          <w:sz w:val="23"/>
          <w:szCs w:val="23"/>
        </w:rPr>
        <w:t xml:space="preserve"> gland to keep the lipid layer intact.</w:t>
      </w:r>
      <w:r>
        <w:rPr>
          <w:rFonts w:ascii="Geist Fallback" w:hAnsi="Geist Fallback"/>
          <w:sz w:val="23"/>
          <w:szCs w:val="23"/>
        </w:rPr>
        <w:t xml:space="preserve"> </w:t>
      </w:r>
      <w:r>
        <w:rPr>
          <w:rStyle w:val="cursor-pointer"/>
          <w:rFonts w:ascii="Geist Fallback" w:hAnsi="Geist Fallback"/>
          <w:sz w:val="23"/>
          <w:szCs w:val="23"/>
        </w:rPr>
        <w:t>Clinical studies are however, still reviewed in a number of literatures which demonstrate enhanced tear production, ocular surface integrity and improvement in dry eye symptoms following oral administration of omega-3 fatty acids.</w:t>
      </w:r>
      <w:r>
        <w:rPr>
          <w:rFonts w:ascii="Geist Fallback" w:hAnsi="Geist Fallback"/>
          <w:sz w:val="23"/>
          <w:szCs w:val="23"/>
        </w:rPr>
        <w:t xml:space="preserve"> </w:t>
      </w:r>
      <w:r>
        <w:rPr>
          <w:rStyle w:val="cursor-pointer"/>
          <w:rFonts w:ascii="Geist Fallback" w:hAnsi="Geist Fallback"/>
          <w:sz w:val="23"/>
          <w:szCs w:val="23"/>
        </w:rPr>
        <w:t xml:space="preserve">To minimize oxidative damage, the main contributor to DED, antioxidant supplementations such as vitamins A, C, and </w:t>
      </w:r>
      <w:proofErr w:type="spellStart"/>
      <w:r>
        <w:rPr>
          <w:rStyle w:val="cursor-pointer"/>
          <w:rFonts w:ascii="Geist Fallback" w:hAnsi="Geist Fallback"/>
          <w:sz w:val="23"/>
          <w:szCs w:val="23"/>
        </w:rPr>
        <w:t>E</w:t>
      </w:r>
      <w:proofErr w:type="spellEnd"/>
      <w:r>
        <w:rPr>
          <w:rStyle w:val="cursor-pointer"/>
          <w:rFonts w:ascii="Geist Fallback" w:hAnsi="Geist Fallback"/>
          <w:sz w:val="23"/>
          <w:szCs w:val="23"/>
        </w:rPr>
        <w:t xml:space="preserve"> are used </w:t>
      </w:r>
      <w:r w:rsidR="005A4D5C">
        <w:rPr>
          <w:rStyle w:val="cursor-pointer"/>
          <w:rFonts w:ascii="Geist Fallback" w:hAnsi="Geist Fallback"/>
          <w:sz w:val="23"/>
          <w:szCs w:val="23"/>
        </w:rPr>
        <w:t>[99]</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These antioxidants help to protect the surface of the eye from the damage caused by free radicals on the function of the epithelial cells and infiltration of inflammatory cells.</w:t>
      </w:r>
      <w:r>
        <w:rPr>
          <w:rFonts w:ascii="Geist Fallback" w:hAnsi="Geist Fallback"/>
          <w:sz w:val="23"/>
          <w:szCs w:val="23"/>
        </w:rPr>
        <w:t xml:space="preserve"> </w:t>
      </w:r>
      <w:r>
        <w:rPr>
          <w:rStyle w:val="cursor-pointer"/>
          <w:rFonts w:ascii="Geist Fallback" w:hAnsi="Geist Fallback"/>
          <w:sz w:val="23"/>
          <w:szCs w:val="23"/>
        </w:rPr>
        <w:t>Therefore, antioxidant foods such as leafy green vegetables, citrus fruits and berries are essential to the health-care of the eyes and could help slow the progression of DED.</w:t>
      </w:r>
      <w:r>
        <w:rPr>
          <w:rFonts w:ascii="Geist Fallback" w:hAnsi="Geist Fallback"/>
          <w:sz w:val="23"/>
          <w:szCs w:val="23"/>
        </w:rPr>
        <w:t xml:space="preserve"> </w:t>
      </w:r>
      <w:r>
        <w:rPr>
          <w:rStyle w:val="cursor-pointer"/>
          <w:rFonts w:ascii="Geist Fallback" w:hAnsi="Geist Fallback"/>
          <w:sz w:val="23"/>
          <w:szCs w:val="23"/>
        </w:rPr>
        <w:t xml:space="preserve">Further, the intake of </w:t>
      </w:r>
      <w:proofErr w:type="spellStart"/>
      <w:r>
        <w:rPr>
          <w:rStyle w:val="cursor-pointer"/>
          <w:rFonts w:ascii="Geist Fallback" w:hAnsi="Geist Fallback"/>
          <w:sz w:val="23"/>
          <w:szCs w:val="23"/>
        </w:rPr>
        <w:t>fibre</w:t>
      </w:r>
      <w:proofErr w:type="spellEnd"/>
      <w:r>
        <w:rPr>
          <w:rStyle w:val="cursor-pointer"/>
          <w:rFonts w:ascii="Geist Fallback" w:hAnsi="Geist Fallback"/>
          <w:sz w:val="23"/>
          <w:szCs w:val="23"/>
        </w:rPr>
        <w:t xml:space="preserve"> has systemic effects, such as anti-inflammatory effects and an increase in the production of anti-inflammatory metabolites such as SCFAs.</w:t>
      </w:r>
      <w:r>
        <w:rPr>
          <w:rFonts w:ascii="Geist Fallback" w:hAnsi="Geist Fallback"/>
          <w:sz w:val="23"/>
          <w:szCs w:val="23"/>
        </w:rPr>
        <w:t xml:space="preserve"> </w:t>
      </w:r>
      <w:r>
        <w:rPr>
          <w:rStyle w:val="cursor-pointer"/>
          <w:rFonts w:ascii="Geist Fallback" w:hAnsi="Geist Fallback"/>
          <w:sz w:val="23"/>
          <w:szCs w:val="23"/>
        </w:rPr>
        <w:t xml:space="preserve">Whole grain, vegetable and fruit fiber could provide </w:t>
      </w:r>
      <w:r>
        <w:rPr>
          <w:rStyle w:val="cursor-pointer"/>
          <w:rFonts w:ascii="Geist Fallback" w:hAnsi="Geist Fallback"/>
          <w:sz w:val="23"/>
          <w:szCs w:val="23"/>
        </w:rPr>
        <w:lastRenderedPageBreak/>
        <w:t>systemic anti-inflammatory effects and improvements in gut microbiota and ocular surface.</w:t>
      </w:r>
    </w:p>
    <w:p w14:paraId="52A1A180" w14:textId="77777777" w:rsidR="00844294" w:rsidRDefault="00844294" w:rsidP="00032BA8">
      <w:pPr>
        <w:spacing w:line="240" w:lineRule="auto"/>
        <w:jc w:val="both"/>
        <w:rPr>
          <w:rFonts w:ascii="Times New Roman" w:hAnsi="Times New Roman" w:cs="Times New Roman"/>
          <w:b/>
          <w:bCs/>
          <w:color w:val="0070C0"/>
        </w:rPr>
      </w:pPr>
    </w:p>
    <w:p w14:paraId="6AE42135" w14:textId="736707C2" w:rsidR="00032BA8" w:rsidRPr="00103A13" w:rsidRDefault="00032BA8" w:rsidP="00032BA8">
      <w:pPr>
        <w:spacing w:line="240" w:lineRule="auto"/>
        <w:jc w:val="both"/>
        <w:rPr>
          <w:rFonts w:ascii="Times New Roman" w:hAnsi="Times New Roman" w:cs="Times New Roman"/>
          <w:color w:val="0070C0"/>
        </w:rPr>
      </w:pPr>
      <w:r w:rsidRPr="00103A13">
        <w:rPr>
          <w:rFonts w:ascii="Times New Roman" w:hAnsi="Times New Roman" w:cs="Times New Roman"/>
          <w:b/>
          <w:bCs/>
          <w:color w:val="0070C0"/>
        </w:rPr>
        <w:t>8.2 Management strategy for DED</w:t>
      </w:r>
    </w:p>
    <w:p w14:paraId="4CDAE743" w14:textId="68F11B77" w:rsidR="00032BA8" w:rsidRPr="00032BA8" w:rsidRDefault="00032BA8" w:rsidP="00032BA8">
      <w:pPr>
        <w:spacing w:line="240" w:lineRule="auto"/>
        <w:jc w:val="both"/>
        <w:rPr>
          <w:rFonts w:ascii="Times New Roman" w:hAnsi="Times New Roman" w:cs="Times New Roman"/>
          <w:b/>
          <w:bCs/>
          <w:i/>
          <w:iCs/>
          <w:color w:val="0070C0"/>
        </w:rPr>
      </w:pPr>
      <w:r w:rsidRPr="00032BA8">
        <w:rPr>
          <w:rFonts w:ascii="Times New Roman" w:hAnsi="Times New Roman" w:cs="Times New Roman"/>
          <w:b/>
          <w:bCs/>
          <w:i/>
          <w:iCs/>
          <w:color w:val="0070C0"/>
        </w:rPr>
        <w:t>8.2.1 Dietary interventions</w:t>
      </w:r>
    </w:p>
    <w:p w14:paraId="27AC521B" w14:textId="3A171940" w:rsidR="00032BA8" w:rsidRPr="003224AD" w:rsidRDefault="00032BA8" w:rsidP="003224AD">
      <w:pPr>
        <w:spacing w:line="240" w:lineRule="auto"/>
        <w:jc w:val="both"/>
        <w:rPr>
          <w:rFonts w:ascii="Geist Fallback" w:hAnsi="Geist Fallback"/>
          <w:sz w:val="23"/>
          <w:szCs w:val="23"/>
        </w:rPr>
      </w:pPr>
      <w:r>
        <w:rPr>
          <w:rStyle w:val="cursor-pointer"/>
          <w:rFonts w:ascii="Geist Fallback" w:hAnsi="Geist Fallback"/>
          <w:sz w:val="23"/>
          <w:szCs w:val="23"/>
        </w:rPr>
        <w:t>With growing understanding of the relationship between gut and eye health, dietary intervention is an intriguing way to manage DED.</w:t>
      </w:r>
      <w:r>
        <w:rPr>
          <w:rFonts w:ascii="Geist Fallback" w:hAnsi="Geist Fallback"/>
          <w:sz w:val="23"/>
          <w:szCs w:val="23"/>
        </w:rPr>
        <w:t xml:space="preserve"> </w:t>
      </w:r>
      <w:r>
        <w:rPr>
          <w:rStyle w:val="cursor-pointer"/>
          <w:rFonts w:ascii="Geist Fallback" w:hAnsi="Geist Fallback"/>
          <w:sz w:val="23"/>
          <w:szCs w:val="23"/>
        </w:rPr>
        <w:t>Diet alteration can be used to enhance anti-inflammatory pathways, support balance of gut microbiota, and increase tear film production as complementary or even alternative treatment approaches to conventional pharmacological therapies for DED.</w:t>
      </w:r>
    </w:p>
    <w:p w14:paraId="18D6A250" w14:textId="2EFFE55B" w:rsidR="00032BA8" w:rsidRPr="00032BA8" w:rsidRDefault="00032BA8" w:rsidP="00032BA8">
      <w:pPr>
        <w:spacing w:line="240" w:lineRule="auto"/>
        <w:jc w:val="both"/>
        <w:rPr>
          <w:rFonts w:ascii="Times New Roman" w:hAnsi="Times New Roman" w:cs="Times New Roman"/>
          <w:b/>
          <w:bCs/>
          <w:i/>
          <w:iCs/>
          <w:color w:val="0070C0"/>
        </w:rPr>
      </w:pPr>
      <w:r w:rsidRPr="00032BA8">
        <w:rPr>
          <w:rFonts w:ascii="Times New Roman" w:hAnsi="Times New Roman" w:cs="Times New Roman"/>
          <w:b/>
          <w:bCs/>
          <w:i/>
          <w:iCs/>
          <w:color w:val="0070C0"/>
        </w:rPr>
        <w:t>8.2.2 Omega-3 Fatty Acids and Their Role in the Management of DED</w:t>
      </w:r>
    </w:p>
    <w:p w14:paraId="7D1D9BFE" w14:textId="6157CF2D" w:rsidR="00032BA8" w:rsidRDefault="00032BA8" w:rsidP="00032BA8">
      <w:pPr>
        <w:spacing w:line="240" w:lineRule="auto"/>
        <w:jc w:val="both"/>
        <w:rPr>
          <w:rFonts w:ascii="Geist Fallback" w:hAnsi="Geist Fallback"/>
          <w:sz w:val="23"/>
          <w:szCs w:val="23"/>
        </w:rPr>
      </w:pPr>
      <w:r>
        <w:rPr>
          <w:rStyle w:val="cursor-pointer"/>
          <w:rFonts w:ascii="Geist Fallback" w:hAnsi="Geist Fallback"/>
          <w:sz w:val="23"/>
          <w:szCs w:val="23"/>
        </w:rPr>
        <w:t>Omega-3 fatty acids are the most researched of the many diet therapies used to treat DED.</w:t>
      </w:r>
      <w:r>
        <w:rPr>
          <w:rFonts w:ascii="Geist Fallback" w:hAnsi="Geist Fallback"/>
          <w:sz w:val="23"/>
          <w:szCs w:val="23"/>
        </w:rPr>
        <w:t xml:space="preserve"> </w:t>
      </w:r>
      <w:r>
        <w:rPr>
          <w:rStyle w:val="cursor-pointer"/>
          <w:rFonts w:ascii="Geist Fallback" w:hAnsi="Geist Fallback"/>
          <w:sz w:val="23"/>
          <w:szCs w:val="23"/>
        </w:rPr>
        <w:t>Omega-3s may help to reduce production of inflammatory cytokines that are critical to the pathogenesis of DED.</w:t>
      </w:r>
      <w:r>
        <w:rPr>
          <w:rFonts w:ascii="Geist Fallback" w:hAnsi="Geist Fallback"/>
          <w:sz w:val="23"/>
          <w:szCs w:val="23"/>
        </w:rPr>
        <w:t xml:space="preserve"> </w:t>
      </w:r>
      <w:r>
        <w:rPr>
          <w:rStyle w:val="cursor-pointer"/>
          <w:rFonts w:ascii="Geist Fallback" w:hAnsi="Geist Fallback"/>
          <w:sz w:val="23"/>
          <w:szCs w:val="23"/>
        </w:rPr>
        <w:t>Oral omega-3 fatty acid supplementation has been shown in clinical studies to improve tear production, tear film stability and decrease symptoms of dry eye.</w:t>
      </w:r>
      <w:r>
        <w:rPr>
          <w:rFonts w:ascii="Geist Fallback" w:hAnsi="Geist Fallback"/>
          <w:sz w:val="23"/>
          <w:szCs w:val="23"/>
        </w:rPr>
        <w:t xml:space="preserve"> </w:t>
      </w:r>
      <w:r w:rsidR="00AA0D9E">
        <w:rPr>
          <w:rFonts w:ascii="Geist Fallback" w:hAnsi="Geist Fallback"/>
          <w:sz w:val="23"/>
          <w:szCs w:val="23"/>
        </w:rPr>
        <w:t>[100]</w:t>
      </w:r>
      <w:r>
        <w:rPr>
          <w:rFonts w:ascii="Geist Fallback" w:hAnsi="Geist Fallback"/>
          <w:sz w:val="23"/>
          <w:szCs w:val="23"/>
        </w:rPr>
        <w:t>.</w:t>
      </w:r>
      <w:r w:rsidR="00AA0D9E">
        <w:rPr>
          <w:rFonts w:ascii="Geist Fallback" w:hAnsi="Geist Fallback"/>
          <w:sz w:val="23"/>
          <w:szCs w:val="23"/>
        </w:rPr>
        <w:t xml:space="preserve"> </w:t>
      </w:r>
      <w:r>
        <w:rPr>
          <w:rStyle w:val="cursor-pointer"/>
          <w:rFonts w:ascii="Geist Fallback" w:hAnsi="Geist Fallback"/>
          <w:sz w:val="23"/>
          <w:szCs w:val="23"/>
        </w:rPr>
        <w:t>Omega-3s can also impact the ocular surface, through the ability to stimulate the meibomian glands to produce the oily layer of the tear film and stop it from evaporating.</w:t>
      </w:r>
      <w:r>
        <w:rPr>
          <w:rFonts w:ascii="Geist Fallback" w:hAnsi="Geist Fallback"/>
          <w:sz w:val="23"/>
          <w:szCs w:val="23"/>
        </w:rPr>
        <w:t xml:space="preserve"> </w:t>
      </w:r>
      <w:r>
        <w:rPr>
          <w:rStyle w:val="cursor-pointer"/>
          <w:rFonts w:ascii="Geist Fallback" w:hAnsi="Geist Fallback"/>
          <w:sz w:val="23"/>
          <w:szCs w:val="23"/>
        </w:rPr>
        <w:t>Omega-3 may help maintain the lipid layer of the tear film which helps to prevent the lipids from evaporating and can help relieve symptoms of meibomian gland dysfunction (MGD), the most common cause of evaporative dry eye.</w:t>
      </w:r>
      <w:r>
        <w:rPr>
          <w:rFonts w:ascii="Geist Fallback" w:hAnsi="Geist Fallback"/>
          <w:sz w:val="23"/>
          <w:szCs w:val="23"/>
        </w:rPr>
        <w:t xml:space="preserve"> </w:t>
      </w:r>
    </w:p>
    <w:p w14:paraId="4E5A95D3" w14:textId="6A6D21C1" w:rsidR="00032BA8" w:rsidRPr="00032BA8" w:rsidRDefault="00032BA8" w:rsidP="00032BA8">
      <w:pPr>
        <w:spacing w:line="240" w:lineRule="auto"/>
        <w:jc w:val="both"/>
        <w:rPr>
          <w:rStyle w:val="cursor-pointer"/>
          <w:rFonts w:ascii="Geist Fallback" w:hAnsi="Geist Fallback"/>
          <w:b/>
          <w:bCs/>
          <w:i/>
          <w:color w:val="0070C0"/>
          <w:sz w:val="23"/>
          <w:szCs w:val="23"/>
        </w:rPr>
      </w:pPr>
      <w:r w:rsidRPr="00032BA8">
        <w:rPr>
          <w:rStyle w:val="cursor-pointer"/>
          <w:rFonts w:ascii="Geist Fallback" w:hAnsi="Geist Fallback"/>
          <w:b/>
          <w:bCs/>
          <w:i/>
          <w:color w:val="0070C0"/>
          <w:sz w:val="23"/>
          <w:szCs w:val="23"/>
        </w:rPr>
        <w:t>8.2.3 Probiotics and Gut Microbiota</w:t>
      </w:r>
    </w:p>
    <w:p w14:paraId="4DB812E2" w14:textId="00542CCD" w:rsidR="003224AD" w:rsidRDefault="00032BA8" w:rsidP="00032BA8">
      <w:pPr>
        <w:spacing w:line="240" w:lineRule="auto"/>
        <w:jc w:val="both"/>
        <w:rPr>
          <w:rFonts w:ascii="Times New Roman" w:hAnsi="Times New Roman" w:cs="Times New Roman"/>
        </w:rPr>
      </w:pPr>
      <w:r>
        <w:rPr>
          <w:rStyle w:val="cursor-pointer"/>
          <w:rFonts w:ascii="Geist Fallback" w:hAnsi="Geist Fallback"/>
          <w:sz w:val="23"/>
          <w:szCs w:val="23"/>
        </w:rPr>
        <w:t xml:space="preserve">With heightened awareness of the importance of the gut microbiome in systemic inflammation and immune regulation, an interest in probiotics to repopulate a healthy gut microbiome as a treatment for DED has emerged </w:t>
      </w:r>
      <w:r w:rsidR="008C4EE7">
        <w:rPr>
          <w:rStyle w:val="cursor-pointer"/>
          <w:rFonts w:ascii="Geist Fallback" w:hAnsi="Geist Fallback"/>
          <w:sz w:val="23"/>
          <w:szCs w:val="23"/>
        </w:rPr>
        <w:t>[101]</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 xml:space="preserve">Probiotics, Lactobacillus </w:t>
      </w:r>
      <w:proofErr w:type="spellStart"/>
      <w:r>
        <w:rPr>
          <w:rStyle w:val="cursor-pointer"/>
          <w:rFonts w:ascii="Geist Fallback" w:hAnsi="Geist Fallback"/>
          <w:sz w:val="23"/>
          <w:szCs w:val="23"/>
        </w:rPr>
        <w:t>spp</w:t>
      </w:r>
      <w:proofErr w:type="spellEnd"/>
      <w:r>
        <w:rPr>
          <w:rStyle w:val="cursor-pointer"/>
          <w:rFonts w:ascii="Geist Fallback" w:hAnsi="Geist Fallback"/>
          <w:sz w:val="23"/>
          <w:szCs w:val="23"/>
        </w:rPr>
        <w:t xml:space="preserve"> and Bifidobacterium </w:t>
      </w:r>
      <w:proofErr w:type="spellStart"/>
      <w:r>
        <w:rPr>
          <w:rStyle w:val="cursor-pointer"/>
          <w:rFonts w:ascii="Geist Fallback" w:hAnsi="Geist Fallback"/>
          <w:sz w:val="23"/>
          <w:szCs w:val="23"/>
        </w:rPr>
        <w:t>spp</w:t>
      </w:r>
      <w:proofErr w:type="spellEnd"/>
      <w:r>
        <w:rPr>
          <w:rStyle w:val="cursor-pointer"/>
          <w:rFonts w:ascii="Geist Fallback" w:hAnsi="Geist Fallback"/>
          <w:sz w:val="23"/>
          <w:szCs w:val="23"/>
        </w:rPr>
        <w:t xml:space="preserve"> were demonstrated to positively impact gut barrier function, reduce intestinal permeability and boost production of anti-inflammatory SCFAs like butyrate.</w:t>
      </w:r>
      <w:r>
        <w:rPr>
          <w:rFonts w:ascii="Geist Fallback" w:hAnsi="Geist Fallback"/>
          <w:sz w:val="23"/>
          <w:szCs w:val="23"/>
        </w:rPr>
        <w:t xml:space="preserve"> </w:t>
      </w:r>
      <w:r>
        <w:rPr>
          <w:rStyle w:val="cursor-pointer"/>
          <w:rFonts w:ascii="Geist Fallback" w:hAnsi="Geist Fallback"/>
          <w:sz w:val="23"/>
          <w:szCs w:val="23"/>
        </w:rPr>
        <w:t xml:space="preserve">The beneficial bacteria can also help decrease systemic inflammation and ultimately ocular surface inflammation </w:t>
      </w:r>
      <w:r w:rsidR="00EF5E0B">
        <w:rPr>
          <w:rStyle w:val="cursor-pointer"/>
          <w:rFonts w:ascii="Geist Fallback" w:hAnsi="Geist Fallback"/>
          <w:sz w:val="23"/>
          <w:szCs w:val="23"/>
        </w:rPr>
        <w:t>[102]</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In addition, the gut-eye axis has been increasingly documented to be a possible actual therapeutic target in the management of DED.</w:t>
      </w:r>
      <w:r>
        <w:rPr>
          <w:rFonts w:ascii="Geist Fallback" w:hAnsi="Geist Fallback"/>
          <w:sz w:val="23"/>
          <w:szCs w:val="23"/>
        </w:rPr>
        <w:t xml:space="preserve"> </w:t>
      </w:r>
      <w:r>
        <w:rPr>
          <w:rStyle w:val="cursor-pointer"/>
          <w:rFonts w:ascii="Geist Fallback" w:hAnsi="Geist Fallback"/>
          <w:sz w:val="23"/>
          <w:szCs w:val="23"/>
        </w:rPr>
        <w:t>Consequently, probiotic supplementation could potentially restore an eye's health, by enhancing the immune system's balance and minimizing inflammation on the surface of the eye.</w:t>
      </w:r>
    </w:p>
    <w:p w14:paraId="6DE42E0E" w14:textId="4C2BF739" w:rsidR="00032BA8" w:rsidRPr="003224AD" w:rsidRDefault="00032BA8" w:rsidP="00032BA8">
      <w:pPr>
        <w:spacing w:line="240" w:lineRule="auto"/>
        <w:jc w:val="both"/>
        <w:rPr>
          <w:rFonts w:ascii="Times New Roman" w:hAnsi="Times New Roman" w:cs="Times New Roman"/>
        </w:rPr>
      </w:pPr>
      <w:r w:rsidRPr="00A04BF7">
        <w:rPr>
          <w:rFonts w:ascii="Times New Roman" w:hAnsi="Times New Roman" w:cs="Times New Roman"/>
        </w:rPr>
        <w:br/>
      </w:r>
      <w:r w:rsidRPr="00032BA8">
        <w:rPr>
          <w:rFonts w:ascii="Times New Roman" w:hAnsi="Times New Roman" w:cs="Times New Roman"/>
          <w:b/>
          <w:bCs/>
          <w:i/>
          <w:iCs/>
          <w:color w:val="0070C0"/>
        </w:rPr>
        <w:t>8.2.4 Vitamins and Minerals for Ocular Health</w:t>
      </w:r>
    </w:p>
    <w:p w14:paraId="65C7BB48" w14:textId="2024869C" w:rsidR="00032BA8" w:rsidRPr="00A04BF7" w:rsidRDefault="00032BA8" w:rsidP="00032BA8">
      <w:pPr>
        <w:spacing w:line="240" w:lineRule="auto"/>
        <w:jc w:val="both"/>
        <w:rPr>
          <w:rFonts w:ascii="Times New Roman" w:hAnsi="Times New Roman" w:cs="Times New Roman"/>
        </w:rPr>
      </w:pPr>
      <w:r>
        <w:rPr>
          <w:rStyle w:val="cursor-pointer"/>
          <w:rFonts w:ascii="Geist Fallback" w:hAnsi="Geist Fallback"/>
          <w:sz w:val="23"/>
          <w:szCs w:val="23"/>
        </w:rPr>
        <w:t>Some vitamins and minerals are essential to good eye health.</w:t>
      </w:r>
      <w:r>
        <w:rPr>
          <w:rFonts w:ascii="Geist Fallback" w:hAnsi="Geist Fallback"/>
          <w:sz w:val="23"/>
          <w:szCs w:val="23"/>
        </w:rPr>
        <w:t xml:space="preserve"> </w:t>
      </w:r>
      <w:r>
        <w:rPr>
          <w:rStyle w:val="cursor-pointer"/>
          <w:rFonts w:ascii="Geist Fallback" w:hAnsi="Geist Fallback"/>
          <w:sz w:val="23"/>
          <w:szCs w:val="23"/>
        </w:rPr>
        <w:t>A strong antioxidant, vitamin A, preserves the corneal epithelium from keratinization, a common feature of DED.</w:t>
      </w:r>
      <w:r>
        <w:rPr>
          <w:rFonts w:ascii="Geist Fallback" w:hAnsi="Geist Fallback"/>
          <w:sz w:val="23"/>
          <w:szCs w:val="23"/>
        </w:rPr>
        <w:t xml:space="preserve"> </w:t>
      </w:r>
      <w:r w:rsidR="000B1D5F">
        <w:rPr>
          <w:rFonts w:ascii="Geist Fallback" w:hAnsi="Geist Fallback"/>
          <w:sz w:val="23"/>
          <w:szCs w:val="23"/>
        </w:rPr>
        <w:t>[103]</w:t>
      </w:r>
      <w:r>
        <w:rPr>
          <w:rFonts w:ascii="Geist Fallback" w:hAnsi="Geist Fallback"/>
          <w:sz w:val="23"/>
          <w:szCs w:val="23"/>
        </w:rPr>
        <w:t>.</w:t>
      </w:r>
      <w:r w:rsidR="000B1D5F">
        <w:rPr>
          <w:rFonts w:ascii="Geist Fallback" w:hAnsi="Geist Fallback"/>
          <w:sz w:val="23"/>
          <w:szCs w:val="23"/>
        </w:rPr>
        <w:t xml:space="preserve"> </w:t>
      </w:r>
      <w:r>
        <w:rPr>
          <w:rStyle w:val="cursor-pointer"/>
          <w:rFonts w:ascii="Geist Fallback" w:hAnsi="Geist Fallback"/>
          <w:sz w:val="23"/>
          <w:szCs w:val="23"/>
        </w:rPr>
        <w:t>Vitamin A deficiency can cause a severe dry eye effect; taking supplements can alleviate these symptoms.</w:t>
      </w:r>
      <w:r>
        <w:rPr>
          <w:rFonts w:ascii="Geist Fallback" w:hAnsi="Geist Fallback"/>
          <w:sz w:val="23"/>
          <w:szCs w:val="23"/>
        </w:rPr>
        <w:t xml:space="preserve"> </w:t>
      </w:r>
      <w:r>
        <w:rPr>
          <w:rStyle w:val="cursor-pointer"/>
          <w:rFonts w:ascii="Geist Fallback" w:hAnsi="Geist Fallback"/>
          <w:sz w:val="23"/>
          <w:szCs w:val="23"/>
        </w:rPr>
        <w:t>Vitamins B12 have been reported to play a role in maintaining the health of corneal epithelial layers, and they might have anti-inflammatory effects on the ocular surface.</w:t>
      </w:r>
      <w:r>
        <w:rPr>
          <w:rFonts w:ascii="Geist Fallback" w:hAnsi="Geist Fallback"/>
          <w:sz w:val="23"/>
          <w:szCs w:val="23"/>
        </w:rPr>
        <w:t xml:space="preserve"> </w:t>
      </w:r>
      <w:r>
        <w:rPr>
          <w:rStyle w:val="cursor-pointer"/>
          <w:rFonts w:ascii="Geist Fallback" w:hAnsi="Geist Fallback"/>
          <w:sz w:val="23"/>
          <w:szCs w:val="23"/>
        </w:rPr>
        <w:t>Iron is involved in intracellular functions and has recently been implicated with the antioxidant function of oxidant-inflammatory processes.</w:t>
      </w:r>
      <w:r>
        <w:rPr>
          <w:rFonts w:ascii="Geist Fallback" w:hAnsi="Geist Fallback"/>
          <w:sz w:val="23"/>
          <w:szCs w:val="23"/>
        </w:rPr>
        <w:t xml:space="preserve"> </w:t>
      </w:r>
      <w:r>
        <w:rPr>
          <w:rStyle w:val="cursor-pointer"/>
          <w:rFonts w:ascii="Geist Fallback" w:hAnsi="Geist Fallback"/>
          <w:sz w:val="23"/>
          <w:szCs w:val="23"/>
        </w:rPr>
        <w:t>Its deficiency will likely increase the oxidative harm to the ocular surface, thereby making DED worse.</w:t>
      </w:r>
      <w:r>
        <w:rPr>
          <w:rFonts w:ascii="Geist Fallback" w:hAnsi="Geist Fallback"/>
          <w:sz w:val="23"/>
          <w:szCs w:val="23"/>
        </w:rPr>
        <w:t xml:space="preserve"> </w:t>
      </w:r>
      <w:r w:rsidR="00296088">
        <w:rPr>
          <w:rFonts w:ascii="Geist Fallback" w:hAnsi="Geist Fallback"/>
          <w:sz w:val="23"/>
          <w:szCs w:val="23"/>
        </w:rPr>
        <w:t>[104]</w:t>
      </w:r>
      <w:r>
        <w:rPr>
          <w:rFonts w:ascii="Geist Fallback" w:hAnsi="Geist Fallback"/>
          <w:sz w:val="23"/>
          <w:szCs w:val="23"/>
        </w:rPr>
        <w:t>.</w:t>
      </w:r>
      <w:r w:rsidR="00296088">
        <w:rPr>
          <w:rFonts w:ascii="Geist Fallback" w:hAnsi="Geist Fallback"/>
          <w:sz w:val="23"/>
          <w:szCs w:val="23"/>
        </w:rPr>
        <w:t xml:space="preserve"> </w:t>
      </w:r>
      <w:r>
        <w:rPr>
          <w:rStyle w:val="cursor-pointer"/>
          <w:rFonts w:ascii="Geist Fallback" w:hAnsi="Geist Fallback"/>
          <w:sz w:val="23"/>
          <w:szCs w:val="23"/>
        </w:rPr>
        <w:t>When consumed in adequate amounts these vitamins and minerals will have beneficial effects in prevention and treatment of DED.</w:t>
      </w:r>
      <w:r>
        <w:rPr>
          <w:rFonts w:ascii="Geist Fallback" w:hAnsi="Geist Fallback"/>
          <w:sz w:val="23"/>
          <w:szCs w:val="23"/>
        </w:rPr>
        <w:t xml:space="preserve"> </w:t>
      </w:r>
      <w:r>
        <w:rPr>
          <w:rStyle w:val="cursor-pointer"/>
          <w:rFonts w:ascii="Geist Fallback" w:hAnsi="Geist Fallback"/>
          <w:sz w:val="23"/>
          <w:szCs w:val="23"/>
        </w:rPr>
        <w:t>Apart from the role of individual nutrients, selenium and calcium have been researched for their roles in the inflammatory pathways.</w:t>
      </w:r>
      <w:r>
        <w:rPr>
          <w:rFonts w:ascii="Geist Fallback" w:hAnsi="Geist Fallback"/>
          <w:sz w:val="23"/>
          <w:szCs w:val="23"/>
        </w:rPr>
        <w:t xml:space="preserve"> </w:t>
      </w:r>
      <w:r>
        <w:rPr>
          <w:rStyle w:val="cursor-pointer"/>
          <w:rFonts w:ascii="Geist Fallback" w:hAnsi="Geist Fallback"/>
          <w:sz w:val="23"/>
          <w:szCs w:val="23"/>
        </w:rPr>
        <w:t>Selenium is an antioxidant that decreases oxidative stress in the body.</w:t>
      </w:r>
      <w:r>
        <w:rPr>
          <w:rFonts w:ascii="Geist Fallback" w:hAnsi="Geist Fallback"/>
          <w:sz w:val="23"/>
          <w:szCs w:val="23"/>
        </w:rPr>
        <w:t xml:space="preserve"> </w:t>
      </w:r>
      <w:r>
        <w:rPr>
          <w:rStyle w:val="cursor-pointer"/>
          <w:rFonts w:ascii="Geist Fallback" w:hAnsi="Geist Fallback"/>
          <w:sz w:val="23"/>
          <w:szCs w:val="23"/>
        </w:rPr>
        <w:t xml:space="preserve">Multiple immune cell functions are influenced by calcium </w:t>
      </w:r>
      <w:r w:rsidR="004407A9">
        <w:rPr>
          <w:rStyle w:val="cursor-pointer"/>
          <w:rFonts w:ascii="Geist Fallback" w:hAnsi="Geist Fallback"/>
          <w:sz w:val="23"/>
          <w:szCs w:val="23"/>
        </w:rPr>
        <w:t>[105,106]</w:t>
      </w:r>
      <w:r>
        <w:rPr>
          <w:rStyle w:val="cursor-pointer"/>
          <w:rFonts w:ascii="Geist Fallback" w:hAnsi="Geist Fallback"/>
          <w:sz w:val="23"/>
          <w:szCs w:val="23"/>
        </w:rPr>
        <w:t>.</w:t>
      </w:r>
      <w:r>
        <w:rPr>
          <w:rFonts w:ascii="Geist Fallback" w:hAnsi="Geist Fallback"/>
          <w:sz w:val="23"/>
          <w:szCs w:val="23"/>
        </w:rPr>
        <w:t xml:space="preserve"> </w:t>
      </w:r>
      <w:r>
        <w:rPr>
          <w:rStyle w:val="cursor-pointer"/>
          <w:rFonts w:ascii="Geist Fallback" w:hAnsi="Geist Fallback"/>
          <w:sz w:val="23"/>
          <w:szCs w:val="23"/>
        </w:rPr>
        <w:t>Deficiencies of these minerals have been correlated with increased inflammation and ocular surface damage, thus placing a lot of emphasis on a balanced diet in the management of DED.</w:t>
      </w:r>
    </w:p>
    <w:p w14:paraId="4F344E5F" w14:textId="77777777" w:rsidR="00313AA1" w:rsidRDefault="00313AA1" w:rsidP="00FE0623">
      <w:pPr>
        <w:spacing w:line="240" w:lineRule="auto"/>
        <w:jc w:val="both"/>
        <w:rPr>
          <w:rFonts w:ascii="Times New Roman" w:hAnsi="Times New Roman" w:cs="Times New Roman"/>
          <w:b/>
          <w:bCs/>
          <w:color w:val="0070C0"/>
        </w:rPr>
      </w:pPr>
    </w:p>
    <w:p w14:paraId="0539C2FD" w14:textId="639466B0" w:rsidR="00FE0623" w:rsidRPr="00313AA1" w:rsidRDefault="00B31F86" w:rsidP="00FE0623">
      <w:pPr>
        <w:spacing w:line="240" w:lineRule="auto"/>
        <w:jc w:val="both"/>
        <w:rPr>
          <w:rFonts w:ascii="Times New Roman" w:hAnsi="Times New Roman" w:cs="Times New Roman"/>
          <w:b/>
          <w:bCs/>
          <w:color w:val="0070C0"/>
        </w:rPr>
      </w:pPr>
      <w:r w:rsidRPr="00313AA1">
        <w:rPr>
          <w:rFonts w:ascii="Times New Roman" w:hAnsi="Times New Roman" w:cs="Times New Roman"/>
          <w:b/>
          <w:bCs/>
          <w:color w:val="0070C0"/>
        </w:rPr>
        <w:t xml:space="preserve">9. </w:t>
      </w:r>
      <w:r w:rsidR="00FE0623" w:rsidRPr="00313AA1">
        <w:rPr>
          <w:rFonts w:ascii="Times New Roman" w:hAnsi="Times New Roman" w:cs="Times New Roman"/>
          <w:b/>
          <w:bCs/>
          <w:color w:val="0070C0"/>
        </w:rPr>
        <w:t>GUT MICROBIOTA'S ROLE IN DRUG METABOLISM</w:t>
      </w:r>
    </w:p>
    <w:p w14:paraId="13FA1C2F" w14:textId="4F05D341" w:rsidR="00FE0623" w:rsidRPr="00FE0623" w:rsidRDefault="00FE0623" w:rsidP="00B31F86">
      <w:pPr>
        <w:spacing w:line="240" w:lineRule="auto"/>
        <w:jc w:val="both"/>
        <w:rPr>
          <w:rFonts w:ascii="Times New Roman" w:hAnsi="Times New Roman" w:cs="Times New Roman"/>
        </w:rPr>
      </w:pPr>
      <w:r w:rsidRPr="00FE0623">
        <w:rPr>
          <w:rStyle w:val="cursor-pointer"/>
          <w:rFonts w:ascii="Geist Fallback" w:hAnsi="Geist Fallback"/>
        </w:rPr>
        <w:t>The gut microbiota has been recognized more and more as a key factor involved in this process and in drug efficacy.</w:t>
      </w:r>
      <w:r w:rsidRPr="00FE0623">
        <w:rPr>
          <w:rFonts w:ascii="Geist Fallback" w:hAnsi="Geist Fallback"/>
        </w:rPr>
        <w:t xml:space="preserve"> </w:t>
      </w:r>
      <w:r w:rsidRPr="00FE0623">
        <w:rPr>
          <w:rStyle w:val="cursor-pointer"/>
          <w:rFonts w:ascii="Geist Fallback" w:hAnsi="Geist Fallback"/>
        </w:rPr>
        <w:t>The trillions of gut microbes produce various enzymes which can modify the molecular structure of drugs.</w:t>
      </w:r>
      <w:r w:rsidRPr="00FE0623">
        <w:rPr>
          <w:rFonts w:ascii="Geist Fallback" w:hAnsi="Geist Fallback"/>
        </w:rPr>
        <w:t xml:space="preserve"> </w:t>
      </w:r>
      <w:r w:rsidRPr="00FE0623">
        <w:rPr>
          <w:rStyle w:val="cursor-pointer"/>
          <w:rFonts w:ascii="Geist Fallback" w:hAnsi="Geist Fallback"/>
        </w:rPr>
        <w:t>The microbial enzymes could further activate or inactivate the drugs and also be toxic to them, which could in turn have a profound impact on their bioavailability and efficacy.</w:t>
      </w:r>
      <w:r w:rsidRPr="00FE0623">
        <w:rPr>
          <w:rFonts w:ascii="Geist Fallback" w:hAnsi="Geist Fallback"/>
        </w:rPr>
        <w:t xml:space="preserve"> </w:t>
      </w:r>
      <w:r w:rsidRPr="00FE0623">
        <w:rPr>
          <w:rStyle w:val="cursor-pointer"/>
          <w:rFonts w:ascii="Geist Fallback" w:hAnsi="Geist Fallback"/>
        </w:rPr>
        <w:t xml:space="preserve">This is because the gut microbiota is critical to the therapeutic effect of the drug, sulfasalazine, which is metabolized to active metabolites (5-aminosalicylic acid and </w:t>
      </w:r>
      <w:proofErr w:type="spellStart"/>
      <w:r w:rsidRPr="00FE0623">
        <w:rPr>
          <w:rStyle w:val="cursor-pointer"/>
          <w:rFonts w:ascii="Geist Fallback" w:hAnsi="Geist Fallback"/>
        </w:rPr>
        <w:t>sulfapyridine</w:t>
      </w:r>
      <w:proofErr w:type="spellEnd"/>
      <w:r w:rsidRPr="00FE0623">
        <w:rPr>
          <w:rStyle w:val="cursor-pointer"/>
          <w:rFonts w:ascii="Geist Fallback" w:hAnsi="Geist Fallback"/>
        </w:rPr>
        <w:t>) by intestinal bacteria during treatment of inflammatory bowel diseases.</w:t>
      </w:r>
      <w:r w:rsidRPr="00FE0623">
        <w:rPr>
          <w:rFonts w:ascii="Geist Fallback" w:hAnsi="Geist Fallback"/>
        </w:rPr>
        <w:t xml:space="preserve"> </w:t>
      </w:r>
      <w:r w:rsidRPr="00FE0623">
        <w:rPr>
          <w:rStyle w:val="cursor-pointer"/>
          <w:rFonts w:ascii="Geist Fallback" w:hAnsi="Geist Fallback"/>
        </w:rPr>
        <w:t>The gastrointestinal (GI) tract is one example of the role it plays in the whole-body pharmacokinetics and pharmacodynamics of drugs.</w:t>
      </w:r>
      <w:r w:rsidRPr="00FE0623">
        <w:rPr>
          <w:rFonts w:ascii="Geist Fallback" w:hAnsi="Geist Fallback"/>
        </w:rPr>
        <w:t xml:space="preserve"> </w:t>
      </w:r>
      <w:r w:rsidRPr="00FE0623">
        <w:rPr>
          <w:rStyle w:val="cursor-pointer"/>
          <w:rFonts w:ascii="Geist Fallback" w:hAnsi="Geist Fallback"/>
        </w:rPr>
        <w:t xml:space="preserve">Besides using its enzymatic functions, gut microbiota also </w:t>
      </w:r>
      <w:proofErr w:type="gramStart"/>
      <w:r w:rsidRPr="00FE0623">
        <w:rPr>
          <w:rStyle w:val="cursor-pointer"/>
          <w:rFonts w:ascii="Geist Fallback" w:hAnsi="Geist Fallback"/>
        </w:rPr>
        <w:t>have</w:t>
      </w:r>
      <w:proofErr w:type="gramEnd"/>
      <w:r w:rsidRPr="00FE0623">
        <w:rPr>
          <w:rStyle w:val="cursor-pointer"/>
          <w:rFonts w:ascii="Geist Fallback" w:hAnsi="Geist Fallback"/>
        </w:rPr>
        <w:t xml:space="preserve"> the ability to alter the pharmacokinetics of drugs through the effects on ADME.</w:t>
      </w:r>
      <w:r w:rsidRPr="00FE0623">
        <w:rPr>
          <w:rFonts w:ascii="Geist Fallback" w:hAnsi="Geist Fallback"/>
        </w:rPr>
        <w:t xml:space="preserve"> </w:t>
      </w:r>
      <w:r w:rsidRPr="00FE0623">
        <w:rPr>
          <w:rStyle w:val="cursor-pointer"/>
          <w:rFonts w:ascii="Geist Fallback" w:hAnsi="Geist Fallback"/>
        </w:rPr>
        <w:t>The gut bacteria produce short chain fatty acids (SCFAs) which are spread out and act on the host cells.</w:t>
      </w:r>
      <w:r w:rsidRPr="00FE0623">
        <w:rPr>
          <w:rFonts w:ascii="Geist Fallback" w:hAnsi="Geist Fallback"/>
        </w:rPr>
        <w:t xml:space="preserve"> </w:t>
      </w:r>
      <w:r w:rsidRPr="00FE0623">
        <w:rPr>
          <w:rStyle w:val="cursor-pointer"/>
          <w:rFonts w:ascii="Geist Fallback" w:hAnsi="Geist Fallback"/>
        </w:rPr>
        <w:t>This interaction has been demonstrated to affect drug transporters and metabolic enzymes.</w:t>
      </w:r>
      <w:r w:rsidRPr="00FE0623">
        <w:rPr>
          <w:rFonts w:ascii="Geist Fallback" w:hAnsi="Geist Fallback"/>
        </w:rPr>
        <w:t xml:space="preserve"> </w:t>
      </w:r>
      <w:r w:rsidRPr="00FE0623">
        <w:rPr>
          <w:rStyle w:val="cursor-pointer"/>
          <w:rFonts w:ascii="Geist Fallback" w:hAnsi="Geist Fallback"/>
        </w:rPr>
        <w:t>Such that for example, SCFAs modulate the expression of cytochrome P450 enzymes, which are highly important in drug metabolism in the liver.</w:t>
      </w:r>
      <w:r w:rsidRPr="00FE0623">
        <w:rPr>
          <w:rFonts w:ascii="Geist Fallback" w:hAnsi="Geist Fallback"/>
        </w:rPr>
        <w:t xml:space="preserve"> </w:t>
      </w:r>
      <w:r w:rsidRPr="00FE0623">
        <w:rPr>
          <w:rStyle w:val="cursor-pointer"/>
          <w:rFonts w:ascii="Geist Fallback" w:hAnsi="Geist Fallback"/>
        </w:rPr>
        <w:t xml:space="preserve">Such interactions may influence clearing of the </w:t>
      </w:r>
      <w:r w:rsidRPr="00FE0623">
        <w:rPr>
          <w:rStyle w:val="cursor-pointer"/>
          <w:rFonts w:ascii="Geist Fallback" w:hAnsi="Geist Fallback"/>
        </w:rPr>
        <w:lastRenderedPageBreak/>
        <w:t>drug and thus cause personal differences in drug response or drug toxicity in people whose gut microbiota composition is different.</w:t>
      </w:r>
      <w:r w:rsidRPr="00FE0623">
        <w:rPr>
          <w:rFonts w:ascii="Geist Fallback" w:hAnsi="Geist Fallback"/>
        </w:rPr>
        <w:t xml:space="preserve"> </w:t>
      </w:r>
      <w:r w:rsidRPr="00FE0623">
        <w:rPr>
          <w:rStyle w:val="cursor-pointer"/>
          <w:rFonts w:ascii="Geist Fallback" w:hAnsi="Geist Fallback"/>
        </w:rPr>
        <w:t>Additionally, drug metabolism is affected by the special function played by the microbiome, which is further complicated by gut dysbiosis, a disruption of microbial populations.</w:t>
      </w:r>
      <w:r w:rsidRPr="00FE0623">
        <w:rPr>
          <w:rFonts w:ascii="Geist Fallback" w:hAnsi="Geist Fallback"/>
        </w:rPr>
        <w:t xml:space="preserve"> </w:t>
      </w:r>
      <w:r w:rsidRPr="00FE0623">
        <w:rPr>
          <w:rStyle w:val="cursor-pointer"/>
          <w:rFonts w:ascii="Geist Fallback" w:hAnsi="Geist Fallback"/>
        </w:rPr>
        <w:t>Dysbiosis may impact production of important metabolites which mitigate pathways of drug metabolism and otherwise affect systemic inflammatory changes.</w:t>
      </w:r>
      <w:r w:rsidRPr="00FE0623">
        <w:rPr>
          <w:rFonts w:ascii="Geist Fallback" w:hAnsi="Geist Fallback"/>
        </w:rPr>
        <w:t xml:space="preserve"> </w:t>
      </w:r>
      <w:r w:rsidRPr="00FE0623">
        <w:rPr>
          <w:rStyle w:val="cursor-pointer"/>
          <w:rFonts w:ascii="Geist Fallback" w:hAnsi="Geist Fallback"/>
        </w:rPr>
        <w:t>These inflammatory disease contexts in which the microbiome composition is associated with disease severity and outcome can manifest as altered drug response.</w:t>
      </w:r>
      <w:r w:rsidRPr="00FE0623">
        <w:rPr>
          <w:rFonts w:ascii="Geist Fallback" w:hAnsi="Geist Fallback"/>
        </w:rPr>
        <w:t xml:space="preserve"> </w:t>
      </w:r>
      <w:r w:rsidRPr="00FE0623">
        <w:rPr>
          <w:rStyle w:val="cursor-pointer"/>
          <w:rFonts w:ascii="Geist Fallback" w:hAnsi="Geist Fallback"/>
        </w:rPr>
        <w:t>The understanding of the effects of dysbiosis on drug metabolism may pave the way for new therapies involving targeted microbiome modulation with pro- and prebiotics to increase the efficacy of drug treatment and decrease adverse effects.</w:t>
      </w:r>
      <w:r w:rsidRPr="00FE0623">
        <w:rPr>
          <w:rFonts w:ascii="Geist Fallback" w:hAnsi="Geist Fallback"/>
        </w:rPr>
        <w:t xml:space="preserve"> </w:t>
      </w:r>
      <w:r w:rsidRPr="00FE0623">
        <w:rPr>
          <w:rStyle w:val="cursor-pointer"/>
          <w:rFonts w:ascii="Geist Fallback" w:hAnsi="Geist Fallback"/>
        </w:rPr>
        <w:t>Another major group of metabolites produced and modified by gut microbes that are altered in dysbiosis are bile acids.</w:t>
      </w:r>
      <w:r w:rsidRPr="00FE0623">
        <w:rPr>
          <w:rFonts w:ascii="Geist Fallback" w:hAnsi="Geist Fallback"/>
        </w:rPr>
        <w:t xml:space="preserve"> </w:t>
      </w:r>
      <w:r w:rsidRPr="00FE0623">
        <w:rPr>
          <w:rStyle w:val="cursor-pointer"/>
          <w:rFonts w:ascii="Geist Fallback" w:hAnsi="Geist Fallback"/>
        </w:rPr>
        <w:t>Primary bile acids secreted in the intestine are rapidly metabolized to secondary bile acids by gut bacteria, which are able to regulate systemic metabolic pathways and drug response via nuclear receptors such as FXR and TGR5.</w:t>
      </w:r>
      <w:r w:rsidRPr="00FE0623">
        <w:rPr>
          <w:rFonts w:ascii="Geist Fallback" w:hAnsi="Geist Fallback"/>
        </w:rPr>
        <w:t xml:space="preserve"> </w:t>
      </w:r>
      <w:r w:rsidRPr="00FE0623">
        <w:rPr>
          <w:rStyle w:val="cursor-pointer"/>
          <w:rFonts w:ascii="Geist Fallback" w:hAnsi="Geist Fallback"/>
        </w:rPr>
        <w:t>These changes in bile-acid profiles associated with gut dysbiosis have been associated with diabetes and inflammatory bowel disease and underline the importance of gut microbial homeostasis for optimal drug metabolism and response to therapy.</w:t>
      </w:r>
      <w:r w:rsidRPr="00FE0623">
        <w:rPr>
          <w:rFonts w:ascii="Geist Fallback" w:hAnsi="Geist Fallback"/>
        </w:rPr>
        <w:t xml:space="preserve"> </w:t>
      </w:r>
      <w:r w:rsidRPr="00FE0623">
        <w:rPr>
          <w:rStyle w:val="cursor-pointer"/>
          <w:rFonts w:ascii="Geist Fallback" w:hAnsi="Geist Fallback"/>
        </w:rPr>
        <w:t>These molecular findings on unregulated mechanisms of gut-microbe drug modification, at a minimum, gives the potential for a mechanism-based intervention approach, via which doctors could customize or transform drugs.</w:t>
      </w:r>
      <w:r w:rsidRPr="00FE0623">
        <w:rPr>
          <w:rFonts w:ascii="Geist Fallback" w:hAnsi="Geist Fallback"/>
        </w:rPr>
        <w:t xml:space="preserve"> </w:t>
      </w:r>
      <w:r w:rsidRPr="00FE0623">
        <w:rPr>
          <w:rStyle w:val="cursor-pointer"/>
          <w:rFonts w:ascii="Geist Fallback" w:hAnsi="Geist Fallback"/>
        </w:rPr>
        <w:t>From microbiome profiling to inform drug response to microbiome-directed therapy to alter drug metabolism, these are a few examples of such strategies that may become cornerstones for achieving successful breakthroughs in the treatment of an entire repertoire of diseases.</w:t>
      </w:r>
      <w:r w:rsidRPr="00FE0623">
        <w:rPr>
          <w:rFonts w:ascii="Geist Fallback" w:hAnsi="Geist Fallback"/>
        </w:rPr>
        <w:t xml:space="preserve"> </w:t>
      </w:r>
      <w:r w:rsidRPr="00FE0623">
        <w:rPr>
          <w:rStyle w:val="cursor-pointer"/>
          <w:rFonts w:ascii="Geist Fallback" w:hAnsi="Geist Fallback"/>
        </w:rPr>
        <w:t xml:space="preserve">This new field of study thus underscores the intricate interactions between gut microbiota and </w:t>
      </w:r>
      <w:proofErr w:type="gramStart"/>
      <w:r w:rsidRPr="00FE0623">
        <w:rPr>
          <w:rStyle w:val="cursor-pointer"/>
          <w:rFonts w:ascii="Geist Fallback" w:hAnsi="Geist Fallback"/>
        </w:rPr>
        <w:t>whole body</w:t>
      </w:r>
      <w:proofErr w:type="gramEnd"/>
      <w:r w:rsidRPr="00FE0623">
        <w:rPr>
          <w:rStyle w:val="cursor-pointer"/>
          <w:rFonts w:ascii="Geist Fallback" w:hAnsi="Geist Fallback"/>
        </w:rPr>
        <w:t xml:space="preserve"> homeostasis and indicates a promising avenue for drug development, as well as clinical application.</w:t>
      </w:r>
    </w:p>
    <w:p w14:paraId="7D17FA5B" w14:textId="77777777" w:rsidR="00FE0623" w:rsidRPr="00FE0623" w:rsidRDefault="00FE0623" w:rsidP="00FE0623">
      <w:pPr>
        <w:spacing w:line="240" w:lineRule="auto"/>
        <w:jc w:val="both"/>
        <w:rPr>
          <w:rFonts w:ascii="Times New Roman" w:hAnsi="Times New Roman" w:cs="Times New Roman"/>
        </w:rPr>
      </w:pPr>
    </w:p>
    <w:p w14:paraId="1BEC799C" w14:textId="344FE24F" w:rsidR="00FE0623" w:rsidRPr="00313AA1" w:rsidRDefault="00B31F86" w:rsidP="00FE0623">
      <w:pPr>
        <w:spacing w:line="240" w:lineRule="auto"/>
        <w:jc w:val="both"/>
        <w:rPr>
          <w:rFonts w:ascii="Times New Roman" w:hAnsi="Times New Roman" w:cs="Times New Roman"/>
          <w:b/>
          <w:bCs/>
          <w:color w:val="0070C0"/>
        </w:rPr>
      </w:pPr>
      <w:r w:rsidRPr="00313AA1">
        <w:rPr>
          <w:rFonts w:ascii="Times New Roman" w:hAnsi="Times New Roman" w:cs="Times New Roman"/>
          <w:b/>
          <w:bCs/>
          <w:color w:val="0070C0"/>
        </w:rPr>
        <w:t xml:space="preserve">10. </w:t>
      </w:r>
      <w:r w:rsidR="00FE0623" w:rsidRPr="00313AA1">
        <w:rPr>
          <w:rFonts w:ascii="Times New Roman" w:hAnsi="Times New Roman" w:cs="Times New Roman"/>
          <w:b/>
          <w:bCs/>
          <w:color w:val="0070C0"/>
        </w:rPr>
        <w:t>FUTURE PROSPECTS</w:t>
      </w:r>
    </w:p>
    <w:p w14:paraId="43042312" w14:textId="0CBA2C4E" w:rsidR="00D56B1B" w:rsidRPr="00FE0623" w:rsidRDefault="00FE0623" w:rsidP="00FE0623">
      <w:pPr>
        <w:pStyle w:val="ListParagraph"/>
        <w:spacing w:after="160"/>
        <w:ind w:left="0" w:firstLine="0"/>
        <w:contextualSpacing/>
        <w:rPr>
          <w:rFonts w:ascii="Times" w:hAnsi="Times"/>
        </w:rPr>
      </w:pPr>
      <w:r w:rsidRPr="00FE0623">
        <w:rPr>
          <w:rStyle w:val="cursor-pointer"/>
          <w:rFonts w:ascii="Geist Fallback" w:hAnsi="Geist Fallback"/>
        </w:rPr>
        <w:t>It is the interaction of gut microbiota that is of potential interest for future research insights and therapeutic applications with respect to ocular health.</w:t>
      </w:r>
      <w:r w:rsidRPr="00FE0623">
        <w:rPr>
          <w:rFonts w:ascii="Geist Fallback" w:hAnsi="Geist Fallback"/>
        </w:rPr>
        <w:t xml:space="preserve"> </w:t>
      </w:r>
      <w:r w:rsidRPr="00FE0623">
        <w:rPr>
          <w:rStyle w:val="cursor-pointer"/>
          <w:rFonts w:ascii="Geist Fallback" w:hAnsi="Geist Fallback"/>
        </w:rPr>
        <w:t>The Gut-Ocular Surface Axis is a crucial topic that needs to be further developed.</w:t>
      </w:r>
      <w:r w:rsidRPr="00FE0623">
        <w:rPr>
          <w:rFonts w:ascii="Geist Fallback" w:hAnsi="Geist Fallback"/>
        </w:rPr>
        <w:t xml:space="preserve"> </w:t>
      </w:r>
      <w:r w:rsidRPr="00FE0623">
        <w:rPr>
          <w:rStyle w:val="cursor-pointer"/>
          <w:rFonts w:ascii="Geist Fallback" w:hAnsi="Geist Fallback"/>
        </w:rPr>
        <w:t>Recent studies have revealed the effects of metabolites produced in the gut on eye health.</w:t>
      </w:r>
      <w:r w:rsidRPr="00FE0623">
        <w:rPr>
          <w:rFonts w:ascii="Geist Fallback" w:hAnsi="Geist Fallback"/>
        </w:rPr>
        <w:t xml:space="preserve"> </w:t>
      </w:r>
      <w:r w:rsidRPr="00FE0623">
        <w:rPr>
          <w:rStyle w:val="cursor-pointer"/>
          <w:rFonts w:ascii="Geist Fallback" w:hAnsi="Geist Fallback"/>
        </w:rPr>
        <w:t>But unlike other organ systems, the molecular mechanisms through which such metabolites affect the ocular surface are not well established.</w:t>
      </w:r>
      <w:r w:rsidRPr="00FE0623">
        <w:rPr>
          <w:rFonts w:ascii="Geist Fallback" w:hAnsi="Geist Fallback"/>
        </w:rPr>
        <w:t xml:space="preserve"> </w:t>
      </w:r>
      <w:r w:rsidRPr="00FE0623">
        <w:rPr>
          <w:rStyle w:val="cursor-pointer"/>
          <w:rFonts w:ascii="Geist Fallback" w:hAnsi="Geist Fallback"/>
        </w:rPr>
        <w:t xml:space="preserve">Further investigations of the pathway mechanisms of these inhibitory effects may result in more effective therapeutic applications in DED </w:t>
      </w:r>
      <w:r w:rsidR="00C965C5">
        <w:rPr>
          <w:rStyle w:val="cursor-pointer"/>
          <w:rFonts w:ascii="Geist Fallback" w:hAnsi="Geist Fallback"/>
        </w:rPr>
        <w:t>[107]</w:t>
      </w:r>
      <w:r w:rsidRPr="00FE0623">
        <w:rPr>
          <w:rStyle w:val="cursor-pointer"/>
          <w:rFonts w:ascii="Geist Fallback" w:hAnsi="Geist Fallback"/>
        </w:rPr>
        <w:t>.</w:t>
      </w:r>
      <w:r w:rsidRPr="00FE0623">
        <w:rPr>
          <w:rFonts w:ascii="Geist Fallback" w:hAnsi="Geist Fallback"/>
        </w:rPr>
        <w:t xml:space="preserve"> </w:t>
      </w:r>
      <w:r w:rsidRPr="00FE0623">
        <w:rPr>
          <w:rStyle w:val="cursor-pointer"/>
          <w:rFonts w:ascii="Geist Fallback" w:hAnsi="Geist Fallback"/>
        </w:rPr>
        <w:t>The third area is creating a customized nutrition program.</w:t>
      </w:r>
      <w:r w:rsidRPr="00FE0623">
        <w:rPr>
          <w:rFonts w:ascii="Geist Fallback" w:hAnsi="Geist Fallback"/>
        </w:rPr>
        <w:t xml:space="preserve"> </w:t>
      </w:r>
      <w:r w:rsidRPr="00FE0623">
        <w:rPr>
          <w:rStyle w:val="cursor-pointer"/>
          <w:rFonts w:ascii="Geist Fallback" w:hAnsi="Geist Fallback"/>
        </w:rPr>
        <w:t xml:space="preserve">The diversity </w:t>
      </w:r>
      <w:r w:rsidRPr="00FE0623">
        <w:rPr>
          <w:rStyle w:val="cursor-pointer"/>
          <w:rFonts w:ascii="Geist Fallback" w:hAnsi="Geist Fallback"/>
        </w:rPr>
        <w:t>of the gut microbiota composition indicates that a targeted dietary therapy will have a greater beneficial effect in the prognosis of eye surface diseases.</w:t>
      </w:r>
      <w:r w:rsidRPr="00FE0623">
        <w:rPr>
          <w:rFonts w:ascii="Geist Fallback" w:hAnsi="Geist Fallback"/>
        </w:rPr>
        <w:t xml:space="preserve"> </w:t>
      </w:r>
      <w:r w:rsidRPr="00FE0623">
        <w:rPr>
          <w:rStyle w:val="cursor-pointer"/>
          <w:rFonts w:ascii="Geist Fallback" w:hAnsi="Geist Fallback"/>
        </w:rPr>
        <w:t xml:space="preserve">Identifying individual nutrients, and how these may interact with the gut microbiota, needs to be further investigated to </w:t>
      </w:r>
      <w:proofErr w:type="spellStart"/>
      <w:r w:rsidRPr="00FE0623">
        <w:rPr>
          <w:rStyle w:val="cursor-pointer"/>
          <w:rFonts w:ascii="Geist Fallback" w:hAnsi="Geist Fallback"/>
        </w:rPr>
        <w:t>individualise</w:t>
      </w:r>
      <w:proofErr w:type="spellEnd"/>
      <w:r w:rsidRPr="00FE0623">
        <w:rPr>
          <w:rStyle w:val="cursor-pointer"/>
          <w:rFonts w:ascii="Geist Fallback" w:hAnsi="Geist Fallback"/>
        </w:rPr>
        <w:t xml:space="preserve"> nutritional protocols to prevent and treat DED </w:t>
      </w:r>
      <w:r w:rsidR="00217376">
        <w:rPr>
          <w:rStyle w:val="cursor-pointer"/>
          <w:rFonts w:ascii="Geist Fallback" w:hAnsi="Geist Fallback"/>
        </w:rPr>
        <w:t>[108]</w:t>
      </w:r>
      <w:r w:rsidRPr="00FE0623">
        <w:rPr>
          <w:rStyle w:val="cursor-pointer"/>
          <w:rFonts w:ascii="Geist Fallback" w:hAnsi="Geist Fallback"/>
        </w:rPr>
        <w:t>.</w:t>
      </w:r>
      <w:r w:rsidRPr="00FE0623">
        <w:rPr>
          <w:rFonts w:ascii="Geist Fallback" w:hAnsi="Geist Fallback"/>
        </w:rPr>
        <w:t xml:space="preserve"> </w:t>
      </w:r>
      <w:r w:rsidRPr="00FE0623">
        <w:rPr>
          <w:rStyle w:val="cursor-pointer"/>
          <w:rFonts w:ascii="Geist Fallback" w:hAnsi="Geist Fallback"/>
        </w:rPr>
        <w:t>Moreover, clinical research enables us to comprehend the impact of food supplements on eye health.</w:t>
      </w:r>
      <w:r w:rsidRPr="00FE0623">
        <w:rPr>
          <w:rFonts w:ascii="Geist Fallback" w:hAnsi="Geist Fallback"/>
        </w:rPr>
        <w:t xml:space="preserve"> </w:t>
      </w:r>
      <w:r w:rsidRPr="00FE0623">
        <w:rPr>
          <w:rStyle w:val="cursor-pointer"/>
          <w:rFonts w:ascii="Geist Fallback" w:hAnsi="Geist Fallback"/>
        </w:rPr>
        <w:t>The long-term safety and efficacy of these omega-3 fatty acids, probiotics and critical vitamins should be assessed in these studies.</w:t>
      </w:r>
      <w:r w:rsidRPr="00FE0623">
        <w:rPr>
          <w:rFonts w:ascii="Geist Fallback" w:hAnsi="Geist Fallback"/>
        </w:rPr>
        <w:t xml:space="preserve"> </w:t>
      </w:r>
      <w:r w:rsidRPr="00FE0623">
        <w:rPr>
          <w:rStyle w:val="cursor-pointer"/>
          <w:rFonts w:ascii="Geist Fallback" w:hAnsi="Geist Fallback"/>
        </w:rPr>
        <w:t xml:space="preserve">The optimum dosage, formulation and treatment periods of these therapies need to be established to achieve the maximum therapeutic benefit for DED subtype patients. </w:t>
      </w:r>
      <w:r w:rsidR="00745F1A">
        <w:rPr>
          <w:rStyle w:val="cursor-pointer"/>
          <w:rFonts w:ascii="Geist Fallback" w:hAnsi="Geist Fallback"/>
        </w:rPr>
        <w:t>[109].</w:t>
      </w:r>
      <w:r w:rsidRPr="00FE0623">
        <w:rPr>
          <w:rFonts w:ascii="Geist Fallback" w:hAnsi="Geist Fallback"/>
        </w:rPr>
        <w:t xml:space="preserve"> </w:t>
      </w:r>
      <w:r w:rsidRPr="00FE0623">
        <w:rPr>
          <w:rStyle w:val="cursor-pointer"/>
          <w:rFonts w:ascii="Geist Fallback" w:hAnsi="Geist Fallback"/>
        </w:rPr>
        <w:t>Probiotics and prebiotics can modulate the microbiota and provide treatment of DED without invasion.</w:t>
      </w:r>
      <w:r w:rsidRPr="00FE0623">
        <w:rPr>
          <w:rFonts w:ascii="Geist Fallback" w:hAnsi="Geist Fallback"/>
        </w:rPr>
        <w:t xml:space="preserve"> </w:t>
      </w:r>
      <w:r w:rsidRPr="00FE0623">
        <w:rPr>
          <w:rStyle w:val="cursor-pointer"/>
          <w:rFonts w:ascii="Geist Fallback" w:hAnsi="Geist Fallback"/>
        </w:rPr>
        <w:t>Further research is needed to discover how such treatments affect systemic and ocular inflammation.</w:t>
      </w:r>
      <w:r w:rsidRPr="00FE0623">
        <w:rPr>
          <w:rFonts w:ascii="Geist Fallback" w:hAnsi="Geist Fallback"/>
        </w:rPr>
        <w:t xml:space="preserve"> </w:t>
      </w:r>
      <w:r w:rsidRPr="00FE0623">
        <w:rPr>
          <w:rStyle w:val="cursor-pointer"/>
          <w:rFonts w:ascii="Geist Fallback" w:hAnsi="Geist Fallback"/>
        </w:rPr>
        <w:t>Such treatments may modulate gut health to change immune responses and minimize eye-related chronic inflammation.</w:t>
      </w:r>
      <w:r w:rsidRPr="00FE0623">
        <w:rPr>
          <w:rFonts w:ascii="Geist Fallback" w:hAnsi="Geist Fallback"/>
        </w:rPr>
        <w:t xml:space="preserve"> </w:t>
      </w:r>
      <w:r w:rsidRPr="00FE0623">
        <w:rPr>
          <w:rStyle w:val="cursor-pointer"/>
          <w:rFonts w:ascii="Geist Fallback" w:hAnsi="Geist Fallback"/>
        </w:rPr>
        <w:t>While diet may help regulate DED, further research is required to identify diets which will impact on eye health and to identify the most appropriate nutritional therapies.</w:t>
      </w:r>
      <w:r w:rsidRPr="00FE0623">
        <w:rPr>
          <w:rFonts w:ascii="Geist Fallback" w:hAnsi="Geist Fallback"/>
        </w:rPr>
        <w:t xml:space="preserve"> </w:t>
      </w:r>
      <w:r w:rsidRPr="00FE0623">
        <w:rPr>
          <w:rStyle w:val="cursor-pointer"/>
          <w:rFonts w:ascii="Geist Fallback" w:hAnsi="Geist Fallback"/>
        </w:rPr>
        <w:t>The Gut-Ocular Surface Axis needs to be established.</w:t>
      </w:r>
      <w:r w:rsidRPr="00FE0623">
        <w:rPr>
          <w:rFonts w:ascii="Geist Fallback" w:hAnsi="Geist Fallback"/>
        </w:rPr>
        <w:t xml:space="preserve"> </w:t>
      </w:r>
      <w:r w:rsidRPr="00FE0623">
        <w:rPr>
          <w:rStyle w:val="cursor-pointer"/>
          <w:rFonts w:ascii="Geist Fallback" w:hAnsi="Geist Fallback"/>
        </w:rPr>
        <w:t>Much has been learnt about gut microbiota and distant systemic diseases, but the molecular mechanisms underlying such changes in the gut and the impact on the eye remains to be investigated.</w:t>
      </w:r>
      <w:r w:rsidRPr="00FE0623">
        <w:rPr>
          <w:rFonts w:ascii="Geist Fallback" w:hAnsi="Geist Fallback"/>
        </w:rPr>
        <w:t xml:space="preserve"> </w:t>
      </w:r>
      <w:r w:rsidRPr="00FE0623">
        <w:rPr>
          <w:rStyle w:val="cursor-pointer"/>
          <w:rFonts w:ascii="Geist Fallback" w:hAnsi="Geist Fallback"/>
        </w:rPr>
        <w:t>To formulate a specific dietary strategy for DED, it is necessary to understand how specific gut-borne compounds may enter the eye and affect intraocular environment in ways that decrease inflammation and promote epithelial function.</w:t>
      </w:r>
      <w:r w:rsidRPr="00FE0623">
        <w:rPr>
          <w:rFonts w:ascii="Geist Fallback" w:hAnsi="Geist Fallback"/>
        </w:rPr>
        <w:t xml:space="preserve"> </w:t>
      </w:r>
      <w:r w:rsidRPr="00FE0623">
        <w:rPr>
          <w:rStyle w:val="cursor-pointer"/>
          <w:rFonts w:ascii="Geist Fallback" w:hAnsi="Geist Fallback"/>
        </w:rPr>
        <w:t>Long-term clinical trials must be conducted on omega-3s, probiotics and other nutrient supplements to prevent and treat DED.</w:t>
      </w:r>
      <w:r w:rsidRPr="00FE0623">
        <w:rPr>
          <w:rFonts w:ascii="Geist Fallback" w:hAnsi="Geist Fallback"/>
        </w:rPr>
        <w:t xml:space="preserve"> </w:t>
      </w:r>
      <w:r w:rsidRPr="00FE0623">
        <w:rPr>
          <w:rStyle w:val="cursor-pointer"/>
          <w:rFonts w:ascii="Geist Fallback" w:hAnsi="Geist Fallback"/>
        </w:rPr>
        <w:t>These supplements should be of the appropriate duration, quantity and format for DED individuals with varied subtypes, and should be based on clinical research.</w:t>
      </w:r>
    </w:p>
    <w:p w14:paraId="0458701B" w14:textId="77777777" w:rsidR="00573F62" w:rsidRPr="00D56B1B" w:rsidRDefault="00573F62" w:rsidP="00DB363A">
      <w:pPr>
        <w:pStyle w:val="ListParagraph"/>
        <w:spacing w:after="160" w:line="276" w:lineRule="auto"/>
        <w:ind w:left="0" w:firstLine="0"/>
        <w:contextualSpacing/>
        <w:rPr>
          <w:rFonts w:ascii="Times" w:hAnsi="Times"/>
        </w:rPr>
      </w:pPr>
    </w:p>
    <w:p w14:paraId="10C237C4" w14:textId="77AE7790" w:rsidR="003D3D96" w:rsidRPr="00B24555" w:rsidRDefault="00B31F86" w:rsidP="00DB363A">
      <w:pPr>
        <w:pStyle w:val="ListParagraph"/>
        <w:spacing w:after="160" w:line="276" w:lineRule="auto"/>
        <w:ind w:left="0" w:firstLine="0"/>
        <w:contextualSpacing/>
        <w:rPr>
          <w:rFonts w:ascii="Times" w:hAnsi="Times"/>
          <w:b/>
          <w:color w:val="2E74B5" w:themeColor="accent5" w:themeShade="BF"/>
        </w:rPr>
      </w:pPr>
      <w:r>
        <w:rPr>
          <w:rFonts w:ascii="Times" w:hAnsi="Times"/>
          <w:b/>
          <w:color w:val="2E74B5" w:themeColor="accent5" w:themeShade="BF"/>
        </w:rPr>
        <w:t>11</w:t>
      </w:r>
      <w:r w:rsidR="003D3D96" w:rsidRPr="00B24555">
        <w:rPr>
          <w:rFonts w:ascii="Times" w:hAnsi="Times"/>
          <w:b/>
          <w:color w:val="2E74B5" w:themeColor="accent5" w:themeShade="BF"/>
        </w:rPr>
        <w:t>. Conclusion</w:t>
      </w:r>
    </w:p>
    <w:p w14:paraId="4FD6F3FB" w14:textId="1E3383F5" w:rsidR="003D3D96" w:rsidRPr="00B31F86" w:rsidRDefault="00B31F86" w:rsidP="00DB363A">
      <w:pPr>
        <w:pStyle w:val="ListParagraph"/>
        <w:widowControl/>
        <w:autoSpaceDE/>
        <w:autoSpaceDN/>
        <w:spacing w:after="160" w:line="276" w:lineRule="auto"/>
        <w:ind w:left="0" w:firstLine="0"/>
        <w:contextualSpacing/>
        <w:rPr>
          <w:rFonts w:ascii="Times" w:hAnsi="Times"/>
        </w:rPr>
      </w:pPr>
      <w:r w:rsidRPr="00B31F86">
        <w:rPr>
          <w:rStyle w:val="cursor-pointer"/>
          <w:rFonts w:ascii="Geist Fallback" w:hAnsi="Geist Fallback"/>
        </w:rPr>
        <w:t>The gut–ocular axis may offer new clues to the mechanisms involved in the pathophysiology of DED and other diseases of the ocular surface.</w:t>
      </w:r>
      <w:r w:rsidRPr="00B31F86">
        <w:rPr>
          <w:rFonts w:ascii="Geist Fallback" w:hAnsi="Geist Fallback"/>
        </w:rPr>
        <w:t xml:space="preserve"> </w:t>
      </w:r>
      <w:r w:rsidRPr="00B31F86">
        <w:rPr>
          <w:rStyle w:val="cursor-pointer"/>
          <w:rFonts w:ascii="Geist Fallback" w:hAnsi="Geist Fallback"/>
        </w:rPr>
        <w:t>The present review based on the potential systemic and ocular inflammatory modulatory effects of gut-derived SCFAs and bile acids.</w:t>
      </w:r>
      <w:r w:rsidRPr="00B31F86">
        <w:rPr>
          <w:rFonts w:ascii="Geist Fallback" w:hAnsi="Geist Fallback"/>
        </w:rPr>
        <w:t xml:space="preserve"> </w:t>
      </w:r>
      <w:r w:rsidRPr="00B31F86">
        <w:rPr>
          <w:rStyle w:val="cursor-pointer"/>
          <w:rFonts w:ascii="Geist Fallback" w:hAnsi="Geist Fallback"/>
        </w:rPr>
        <w:t xml:space="preserve">This increasing body of evidence corroborates the need for gut microbial </w:t>
      </w:r>
      <w:proofErr w:type="spellStart"/>
      <w:r w:rsidRPr="00B31F86">
        <w:rPr>
          <w:rStyle w:val="cursor-pointer"/>
          <w:rFonts w:ascii="Geist Fallback" w:hAnsi="Geist Fallback"/>
        </w:rPr>
        <w:t>eubiosis</w:t>
      </w:r>
      <w:proofErr w:type="spellEnd"/>
      <w:r w:rsidRPr="00B31F86">
        <w:rPr>
          <w:rStyle w:val="cursor-pointer"/>
          <w:rFonts w:ascii="Geist Fallback" w:hAnsi="Geist Fallback"/>
        </w:rPr>
        <w:t xml:space="preserve"> maintenance by nutritional approaches protective for the ocular surface </w:t>
      </w:r>
      <w:proofErr w:type="spellStart"/>
      <w:r w:rsidRPr="00B31F86">
        <w:rPr>
          <w:rStyle w:val="cursor-pointer"/>
          <w:rFonts w:ascii="Geist Fallback" w:hAnsi="Geist Fallback"/>
        </w:rPr>
        <w:t>eubiosis</w:t>
      </w:r>
      <w:proofErr w:type="spellEnd"/>
      <w:r w:rsidRPr="00B31F86">
        <w:rPr>
          <w:rStyle w:val="cursor-pointer"/>
          <w:rFonts w:ascii="Geist Fallback" w:hAnsi="Geist Fallback"/>
        </w:rPr>
        <w:t xml:space="preserve"> and ocular health.</w:t>
      </w:r>
      <w:r w:rsidRPr="00B31F86">
        <w:rPr>
          <w:rFonts w:ascii="Geist Fallback" w:hAnsi="Geist Fallback"/>
        </w:rPr>
        <w:t xml:space="preserve"> </w:t>
      </w:r>
      <w:r w:rsidRPr="00B31F86">
        <w:rPr>
          <w:rStyle w:val="cursor-pointer"/>
          <w:rFonts w:ascii="Geist Fallback" w:hAnsi="Geist Fallback"/>
        </w:rPr>
        <w:t>Moreover, this study on the gut-eye axis provides potential therapeutic implications for the treatment of DED in the framework of dietary and probiotic interventions as add-on or alternative therapy.</w:t>
      </w:r>
      <w:r w:rsidRPr="00B31F86">
        <w:rPr>
          <w:rFonts w:ascii="Geist Fallback" w:hAnsi="Geist Fallback"/>
        </w:rPr>
        <w:t xml:space="preserve"> </w:t>
      </w:r>
      <w:r w:rsidRPr="00B31F86">
        <w:rPr>
          <w:rStyle w:val="cursor-pointer"/>
          <w:rFonts w:ascii="Geist Fallback" w:hAnsi="Geist Fallback"/>
        </w:rPr>
        <w:t xml:space="preserve">It discusses the importance of nutrients to achieve a healthy balance of the gut and eye microbiome and the potential of nutrients as a strategy to help lower </w:t>
      </w:r>
      <w:r w:rsidRPr="00B31F86">
        <w:rPr>
          <w:rStyle w:val="cursor-pointer"/>
          <w:rFonts w:ascii="Geist Fallback" w:hAnsi="Geist Fallback"/>
        </w:rPr>
        <w:lastRenderedPageBreak/>
        <w:t>inflammation and restore eye surface health.</w:t>
      </w:r>
      <w:r w:rsidRPr="00B31F86">
        <w:rPr>
          <w:rFonts w:ascii="Geist Fallback" w:hAnsi="Geist Fallback"/>
        </w:rPr>
        <w:t xml:space="preserve"> </w:t>
      </w:r>
      <w:r w:rsidRPr="00B31F86">
        <w:rPr>
          <w:rStyle w:val="cursor-pointer"/>
          <w:rFonts w:ascii="Geist Fallback" w:hAnsi="Geist Fallback"/>
        </w:rPr>
        <w:t>But those results are qualified with the note that more research is needed.</w:t>
      </w:r>
      <w:r w:rsidRPr="00B31F86">
        <w:rPr>
          <w:rFonts w:ascii="Geist Fallback" w:hAnsi="Geist Fallback"/>
        </w:rPr>
        <w:t xml:space="preserve"> </w:t>
      </w:r>
      <w:r w:rsidRPr="00B31F86">
        <w:rPr>
          <w:rStyle w:val="cursor-pointer"/>
          <w:rFonts w:ascii="Geist Fallback" w:hAnsi="Geist Fallback"/>
        </w:rPr>
        <w:t>Further studies should be directed towards understanding the exact molecular mechanisms and connecting gut health with eye health function as well as dietary interventions supported by scientific evidence for regulating eye diseases.</w:t>
      </w:r>
      <w:r w:rsidRPr="00B31F86">
        <w:rPr>
          <w:rFonts w:ascii="Geist Fallback" w:hAnsi="Geist Fallback"/>
        </w:rPr>
        <w:t xml:space="preserve"> </w:t>
      </w:r>
      <w:r w:rsidRPr="00B31F86">
        <w:rPr>
          <w:rStyle w:val="cursor-pointer"/>
          <w:rFonts w:ascii="Geist Fallback" w:hAnsi="Geist Fallback"/>
        </w:rPr>
        <w:t>And as our current interpretation of these complex interactions continues to improve, so do the opportunities for individualized therapies, and in turn, will help direct how we affect outcomes</w:t>
      </w:r>
      <w:r>
        <w:rPr>
          <w:rStyle w:val="cursor-pointer"/>
          <w:rFonts w:ascii="Geist Fallback" w:hAnsi="Geist Fallback"/>
          <w:sz w:val="23"/>
          <w:szCs w:val="23"/>
        </w:rPr>
        <w:t xml:space="preserve"> </w:t>
      </w:r>
      <w:r w:rsidRPr="00B31F86">
        <w:rPr>
          <w:rStyle w:val="cursor-pointer"/>
          <w:rFonts w:ascii="Geist Fallback" w:hAnsi="Geist Fallback"/>
        </w:rPr>
        <w:t>and quality of life in our patients.</w:t>
      </w:r>
    </w:p>
    <w:p w14:paraId="2A19D5CF" w14:textId="77777777" w:rsidR="00644378" w:rsidRDefault="00644378" w:rsidP="00DB363A">
      <w:pPr>
        <w:pStyle w:val="ListParagraph"/>
        <w:widowControl/>
        <w:autoSpaceDE/>
        <w:autoSpaceDN/>
        <w:spacing w:after="160" w:line="276" w:lineRule="auto"/>
        <w:ind w:left="0" w:firstLine="0"/>
        <w:contextualSpacing/>
        <w:rPr>
          <w:rFonts w:ascii="Times" w:hAnsi="Times"/>
        </w:rPr>
      </w:pPr>
    </w:p>
    <w:p w14:paraId="09F0DE3E" w14:textId="77777777" w:rsidR="00E55B1E" w:rsidRPr="00E55B1E" w:rsidRDefault="00E55B1E" w:rsidP="00E55B1E">
      <w:pPr>
        <w:spacing w:line="240" w:lineRule="auto"/>
        <w:jc w:val="both"/>
        <w:rPr>
          <w:rFonts w:ascii="Times New Roman" w:hAnsi="Times New Roman" w:cs="Times New Roman"/>
          <w:b/>
          <w:bCs/>
          <w:color w:val="0070C0"/>
        </w:rPr>
      </w:pPr>
      <w:r w:rsidRPr="00E55B1E">
        <w:rPr>
          <w:rFonts w:ascii="Times New Roman" w:hAnsi="Times New Roman" w:cs="Times New Roman"/>
          <w:b/>
          <w:bCs/>
          <w:color w:val="0070C0"/>
        </w:rPr>
        <w:t xml:space="preserve">Declaration </w:t>
      </w:r>
    </w:p>
    <w:p w14:paraId="788AA246" w14:textId="77777777" w:rsidR="00E55B1E" w:rsidRPr="00A04BF7" w:rsidRDefault="00E55B1E" w:rsidP="00E55B1E">
      <w:pPr>
        <w:spacing w:line="240" w:lineRule="auto"/>
        <w:jc w:val="both"/>
        <w:rPr>
          <w:rFonts w:ascii="Times New Roman" w:hAnsi="Times New Roman" w:cs="Times New Roman"/>
        </w:rPr>
      </w:pPr>
      <w:r w:rsidRPr="00A04BF7">
        <w:rPr>
          <w:rFonts w:ascii="Times New Roman" w:hAnsi="Times New Roman" w:cs="Times New Roman"/>
        </w:rPr>
        <w:t xml:space="preserve">The authors declared no conflict of interest. </w:t>
      </w:r>
    </w:p>
    <w:p w14:paraId="798048A5" w14:textId="77777777" w:rsidR="00E55B1E" w:rsidRPr="00A04BF7" w:rsidRDefault="00E55B1E" w:rsidP="00E55B1E">
      <w:pPr>
        <w:spacing w:line="240" w:lineRule="auto"/>
        <w:jc w:val="both"/>
        <w:rPr>
          <w:rFonts w:ascii="Times New Roman" w:hAnsi="Times New Roman" w:cs="Times New Roman"/>
        </w:rPr>
      </w:pPr>
    </w:p>
    <w:p w14:paraId="496FCD77" w14:textId="77777777" w:rsidR="00E55B1E" w:rsidRPr="00E55B1E" w:rsidRDefault="00E55B1E" w:rsidP="00E55B1E">
      <w:pPr>
        <w:spacing w:line="240" w:lineRule="auto"/>
        <w:jc w:val="both"/>
        <w:rPr>
          <w:rFonts w:ascii="Times New Roman" w:hAnsi="Times New Roman" w:cs="Times New Roman"/>
          <w:b/>
          <w:bCs/>
          <w:color w:val="0070C0"/>
        </w:rPr>
      </w:pPr>
      <w:r w:rsidRPr="00E55B1E">
        <w:rPr>
          <w:rFonts w:ascii="Times New Roman" w:hAnsi="Times New Roman" w:cs="Times New Roman"/>
          <w:b/>
          <w:bCs/>
          <w:color w:val="0070C0"/>
        </w:rPr>
        <w:t>Consent</w:t>
      </w:r>
    </w:p>
    <w:p w14:paraId="612A1AE1" w14:textId="77777777" w:rsidR="00E55B1E" w:rsidRPr="00A04BF7" w:rsidRDefault="00E55B1E" w:rsidP="00E55B1E">
      <w:pPr>
        <w:spacing w:line="240" w:lineRule="auto"/>
        <w:jc w:val="both"/>
        <w:rPr>
          <w:rFonts w:ascii="Times New Roman" w:hAnsi="Times New Roman" w:cs="Times New Roman"/>
        </w:rPr>
      </w:pPr>
      <w:r w:rsidRPr="00A04BF7">
        <w:rPr>
          <w:rFonts w:ascii="Times New Roman" w:hAnsi="Times New Roman" w:cs="Times New Roman"/>
        </w:rPr>
        <w:t>NA.</w:t>
      </w:r>
    </w:p>
    <w:p w14:paraId="2E888040" w14:textId="77777777" w:rsidR="00E55B1E" w:rsidRPr="00E55B1E" w:rsidRDefault="00E55B1E" w:rsidP="00E55B1E">
      <w:pPr>
        <w:spacing w:line="240" w:lineRule="auto"/>
        <w:jc w:val="both"/>
        <w:rPr>
          <w:rFonts w:ascii="Times New Roman" w:hAnsi="Times New Roman" w:cs="Times New Roman"/>
          <w:b/>
          <w:bCs/>
          <w:color w:val="0070C0"/>
        </w:rPr>
      </w:pPr>
      <w:r w:rsidRPr="00E55B1E">
        <w:rPr>
          <w:rFonts w:ascii="Times New Roman" w:hAnsi="Times New Roman" w:cs="Times New Roman"/>
          <w:b/>
          <w:bCs/>
          <w:color w:val="0070C0"/>
        </w:rPr>
        <w:t>Ethical Statement</w:t>
      </w:r>
    </w:p>
    <w:p w14:paraId="45ACF044" w14:textId="77777777" w:rsidR="00E55B1E" w:rsidRPr="00A04BF7" w:rsidRDefault="00E55B1E" w:rsidP="00E55B1E">
      <w:pPr>
        <w:spacing w:line="240" w:lineRule="auto"/>
        <w:jc w:val="both"/>
        <w:rPr>
          <w:rFonts w:ascii="Times New Roman" w:hAnsi="Times New Roman" w:cs="Times New Roman"/>
          <w:bCs/>
        </w:rPr>
      </w:pPr>
      <w:r w:rsidRPr="00A04BF7">
        <w:rPr>
          <w:rFonts w:ascii="Times New Roman" w:hAnsi="Times New Roman" w:cs="Times New Roman"/>
          <w:bCs/>
        </w:rPr>
        <w:t>NA.</w:t>
      </w:r>
    </w:p>
    <w:p w14:paraId="4EBE4622" w14:textId="77777777" w:rsidR="00E55B1E" w:rsidRPr="00E55B1E" w:rsidRDefault="00E55B1E" w:rsidP="00E55B1E">
      <w:pPr>
        <w:spacing w:line="240" w:lineRule="auto"/>
        <w:jc w:val="both"/>
        <w:rPr>
          <w:rFonts w:ascii="Times New Roman" w:hAnsi="Times New Roman" w:cs="Times New Roman"/>
          <w:b/>
          <w:bCs/>
          <w:color w:val="0070C0"/>
        </w:rPr>
      </w:pPr>
      <w:r w:rsidRPr="00E55B1E">
        <w:rPr>
          <w:rFonts w:ascii="Times New Roman" w:hAnsi="Times New Roman" w:cs="Times New Roman"/>
          <w:b/>
          <w:bCs/>
          <w:color w:val="0070C0"/>
        </w:rPr>
        <w:t>Funding</w:t>
      </w:r>
    </w:p>
    <w:p w14:paraId="749576D1" w14:textId="77777777" w:rsidR="00E55B1E" w:rsidRDefault="00E55B1E" w:rsidP="00E55B1E">
      <w:pPr>
        <w:spacing w:line="240" w:lineRule="auto"/>
        <w:jc w:val="both"/>
        <w:rPr>
          <w:rFonts w:ascii="Times New Roman" w:hAnsi="Times New Roman" w:cs="Times New Roman"/>
        </w:rPr>
      </w:pPr>
      <w:r w:rsidRPr="00A04BF7">
        <w:rPr>
          <w:rFonts w:ascii="Times New Roman" w:hAnsi="Times New Roman" w:cs="Times New Roman"/>
        </w:rPr>
        <w:t>We did not have any funding source for this work and none of the authors have any kind of conflict of interests.</w:t>
      </w:r>
    </w:p>
    <w:p w14:paraId="77C12B53" w14:textId="77777777" w:rsidR="00E55B1E" w:rsidRPr="00E55B1E" w:rsidRDefault="00E55B1E" w:rsidP="00E55B1E">
      <w:pPr>
        <w:spacing w:line="240" w:lineRule="auto"/>
        <w:jc w:val="both"/>
        <w:rPr>
          <w:rFonts w:ascii="Times New Roman" w:hAnsi="Times New Roman" w:cs="Times New Roman"/>
          <w:b/>
          <w:bCs/>
          <w:color w:val="0070C0"/>
        </w:rPr>
      </w:pPr>
      <w:r w:rsidRPr="00E55B1E">
        <w:rPr>
          <w:rFonts w:ascii="Times New Roman" w:hAnsi="Times New Roman" w:cs="Times New Roman"/>
          <w:b/>
          <w:bCs/>
          <w:color w:val="0070C0"/>
        </w:rPr>
        <w:t>Authors Contributions</w:t>
      </w:r>
    </w:p>
    <w:p w14:paraId="0451C2F8" w14:textId="48A801CB" w:rsidR="00644378" w:rsidRDefault="00E55B1E" w:rsidP="00E55B1E">
      <w:pPr>
        <w:pStyle w:val="ListParagraph"/>
        <w:widowControl/>
        <w:autoSpaceDE/>
        <w:autoSpaceDN/>
        <w:spacing w:after="160" w:line="276" w:lineRule="auto"/>
        <w:ind w:left="0" w:firstLine="0"/>
        <w:contextualSpacing/>
        <w:rPr>
          <w:rFonts w:ascii="Times" w:hAnsi="Times"/>
        </w:rPr>
      </w:pPr>
      <w:r>
        <w:t>AB and SS participated in the conception and design of the study. AB, SS, GP, ABB, VS, and NK participated in the literature search and data extraction. KS, SSP, SS, SC, and AKS contributed to drafting and writing the manuscript. RKC and RM critically reviewed, revised, and finalized the article. All authors read and approved the final manuscript.</w:t>
      </w:r>
    </w:p>
    <w:p w14:paraId="4E8B3465" w14:textId="77777777" w:rsidR="00552079" w:rsidRPr="005941FF" w:rsidRDefault="00552079" w:rsidP="00DB363A">
      <w:pPr>
        <w:pStyle w:val="ListParagraph"/>
        <w:widowControl/>
        <w:autoSpaceDE/>
        <w:autoSpaceDN/>
        <w:spacing w:after="160" w:line="276" w:lineRule="auto"/>
        <w:ind w:left="0" w:firstLine="0"/>
        <w:contextualSpacing/>
        <w:rPr>
          <w:rFonts w:ascii="Times" w:hAnsi="Times"/>
        </w:rPr>
      </w:pPr>
    </w:p>
    <w:p w14:paraId="1EE81F95" w14:textId="0BC1A04D" w:rsidR="00573F62" w:rsidRPr="00573F62" w:rsidRDefault="003D3D96" w:rsidP="00573F62">
      <w:pPr>
        <w:pStyle w:val="ListParagraph"/>
        <w:spacing w:before="240" w:after="160" w:line="276" w:lineRule="auto"/>
        <w:ind w:left="0" w:firstLine="0"/>
        <w:contextualSpacing/>
        <w:rPr>
          <w:rFonts w:ascii="Times" w:hAnsi="Times"/>
          <w:b/>
          <w:bCs/>
          <w:color w:val="2E74B5" w:themeColor="accent5" w:themeShade="BF"/>
        </w:rPr>
      </w:pPr>
      <w:r w:rsidRPr="00573F62">
        <w:rPr>
          <w:rFonts w:ascii="Times" w:hAnsi="Times"/>
          <w:b/>
          <w:bCs/>
          <w:color w:val="2E74B5" w:themeColor="accent5" w:themeShade="BF"/>
        </w:rPr>
        <w:t>References</w:t>
      </w:r>
    </w:p>
    <w:p w14:paraId="65ED9ADF" w14:textId="77777777" w:rsidR="00845153" w:rsidRPr="00845153" w:rsidRDefault="00845153" w:rsidP="00845153">
      <w:pPr>
        <w:pStyle w:val="NormalWeb"/>
        <w:numPr>
          <w:ilvl w:val="0"/>
          <w:numId w:val="32"/>
        </w:numPr>
        <w:ind w:left="450"/>
        <w:jc w:val="both"/>
        <w:rPr>
          <w:sz w:val="22"/>
          <w:szCs w:val="22"/>
        </w:rPr>
      </w:pPr>
      <w:r w:rsidRPr="00845153">
        <w:rPr>
          <w:sz w:val="22"/>
          <w:szCs w:val="22"/>
        </w:rPr>
        <w:t xml:space="preserve">Deo, N. &amp; </w:t>
      </w:r>
      <w:proofErr w:type="spellStart"/>
      <w:r w:rsidRPr="00845153">
        <w:rPr>
          <w:sz w:val="22"/>
          <w:szCs w:val="22"/>
        </w:rPr>
        <w:t>Nagrale</w:t>
      </w:r>
      <w:proofErr w:type="spellEnd"/>
      <w:r w:rsidRPr="00845153">
        <w:rPr>
          <w:sz w:val="22"/>
          <w:szCs w:val="22"/>
        </w:rPr>
        <w:t xml:space="preserve">, P. (2024) ‘Dry Eye Disease: An Overview of Its Risk Factors, Diagnosis, and Prevalence by Age, Sex, and Race’, </w:t>
      </w:r>
      <w:proofErr w:type="spellStart"/>
      <w:r w:rsidRPr="00845153">
        <w:rPr>
          <w:rStyle w:val="Emphasis"/>
          <w:sz w:val="22"/>
          <w:szCs w:val="22"/>
        </w:rPr>
        <w:t>Cureus</w:t>
      </w:r>
      <w:proofErr w:type="spellEnd"/>
      <w:r w:rsidRPr="00845153">
        <w:rPr>
          <w:sz w:val="22"/>
          <w:szCs w:val="22"/>
        </w:rPr>
        <w:t>, 16(2), p. e54028.</w:t>
      </w:r>
    </w:p>
    <w:p w14:paraId="675B39B2" w14:textId="77777777" w:rsidR="00845153" w:rsidRPr="00845153" w:rsidRDefault="00845153" w:rsidP="00845153">
      <w:pPr>
        <w:pStyle w:val="NormalWeb"/>
        <w:numPr>
          <w:ilvl w:val="0"/>
          <w:numId w:val="32"/>
        </w:numPr>
        <w:ind w:left="450"/>
        <w:jc w:val="both"/>
        <w:rPr>
          <w:sz w:val="22"/>
          <w:szCs w:val="22"/>
        </w:rPr>
      </w:pPr>
      <w:r w:rsidRPr="00845153">
        <w:rPr>
          <w:sz w:val="22"/>
          <w:szCs w:val="22"/>
        </w:rPr>
        <w:t xml:space="preserve">Parrado, C., </w:t>
      </w:r>
      <w:proofErr w:type="spellStart"/>
      <w:r w:rsidRPr="00845153">
        <w:rPr>
          <w:sz w:val="22"/>
          <w:szCs w:val="22"/>
        </w:rPr>
        <w:t>Llabrés</w:t>
      </w:r>
      <w:proofErr w:type="spellEnd"/>
      <w:r w:rsidRPr="00845153">
        <w:rPr>
          <w:sz w:val="22"/>
          <w:szCs w:val="22"/>
        </w:rPr>
        <w:t xml:space="preserve">, M., Gonzalo, R., Serra, L. &amp; Cordero, M. (2019) ‘Environmental stressors on skin aging. Mechanistic insights’, </w:t>
      </w:r>
      <w:r w:rsidRPr="00845153">
        <w:rPr>
          <w:rStyle w:val="Emphasis"/>
          <w:sz w:val="22"/>
          <w:szCs w:val="22"/>
        </w:rPr>
        <w:t>Frontiers in Pharmacology</w:t>
      </w:r>
      <w:r w:rsidRPr="00845153">
        <w:rPr>
          <w:sz w:val="22"/>
          <w:szCs w:val="22"/>
        </w:rPr>
        <w:t>, 10, p. 759.</w:t>
      </w:r>
    </w:p>
    <w:p w14:paraId="31C155F4" w14:textId="77777777" w:rsidR="00845153" w:rsidRPr="00845153" w:rsidRDefault="00845153" w:rsidP="00845153">
      <w:pPr>
        <w:pStyle w:val="NormalWeb"/>
        <w:numPr>
          <w:ilvl w:val="0"/>
          <w:numId w:val="32"/>
        </w:numPr>
        <w:ind w:left="450"/>
        <w:jc w:val="both"/>
        <w:rPr>
          <w:sz w:val="22"/>
          <w:szCs w:val="22"/>
        </w:rPr>
      </w:pPr>
      <w:proofErr w:type="spellStart"/>
      <w:r w:rsidRPr="00845153">
        <w:rPr>
          <w:sz w:val="22"/>
          <w:szCs w:val="22"/>
        </w:rPr>
        <w:t>Parua</w:t>
      </w:r>
      <w:proofErr w:type="spellEnd"/>
      <w:r w:rsidRPr="00845153">
        <w:rPr>
          <w:sz w:val="22"/>
          <w:szCs w:val="22"/>
        </w:rPr>
        <w:t xml:space="preserve">, S., Choudhury, G.R., Bhattacharya, S., Hazra, A., Dutta, S., Sengupta, P. &amp; Bhattacharya, K. (2024) ‘Melatonin in Female Fertility: Multifaceted Role </w:t>
      </w:r>
      <w:proofErr w:type="gramStart"/>
      <w:r w:rsidRPr="00845153">
        <w:rPr>
          <w:sz w:val="22"/>
          <w:szCs w:val="22"/>
        </w:rPr>
        <w:t>From</w:t>
      </w:r>
      <w:proofErr w:type="gramEnd"/>
      <w:r w:rsidRPr="00845153">
        <w:rPr>
          <w:sz w:val="22"/>
          <w:szCs w:val="22"/>
        </w:rPr>
        <w:t xml:space="preserve"> Reproductive Physiology to Therapeutic Potential in Polycystic Ovary </w:t>
      </w:r>
      <w:r w:rsidRPr="00845153">
        <w:rPr>
          <w:sz w:val="22"/>
          <w:szCs w:val="22"/>
        </w:rPr>
        <w:t xml:space="preserve">Syndrome, Endometriosis, and Ovarian Failure’, </w:t>
      </w:r>
      <w:r w:rsidRPr="00845153">
        <w:rPr>
          <w:rStyle w:val="Emphasis"/>
          <w:sz w:val="22"/>
          <w:szCs w:val="22"/>
        </w:rPr>
        <w:t>Chronobiology in Medicine</w:t>
      </w:r>
      <w:r w:rsidRPr="00845153">
        <w:rPr>
          <w:sz w:val="22"/>
          <w:szCs w:val="22"/>
        </w:rPr>
        <w:t>, 6(4), pp. 145–162.</w:t>
      </w:r>
    </w:p>
    <w:p w14:paraId="610B47E2" w14:textId="77777777" w:rsidR="00845153" w:rsidRPr="00845153" w:rsidRDefault="00845153" w:rsidP="00845153">
      <w:pPr>
        <w:pStyle w:val="NormalWeb"/>
        <w:numPr>
          <w:ilvl w:val="0"/>
          <w:numId w:val="32"/>
        </w:numPr>
        <w:ind w:left="450"/>
        <w:jc w:val="both"/>
        <w:rPr>
          <w:sz w:val="22"/>
          <w:szCs w:val="22"/>
        </w:rPr>
      </w:pPr>
      <w:r w:rsidRPr="00845153">
        <w:rPr>
          <w:sz w:val="22"/>
          <w:szCs w:val="22"/>
        </w:rPr>
        <w:t xml:space="preserve">Peck, T., Olsakovsky, L. &amp; Aggarwal, S. (2017) ‘Dry eye syndrome in menopause and perimenopausal age group’, </w:t>
      </w:r>
      <w:r w:rsidRPr="00845153">
        <w:rPr>
          <w:rStyle w:val="Emphasis"/>
          <w:sz w:val="22"/>
          <w:szCs w:val="22"/>
        </w:rPr>
        <w:t>Journal of Midlife Health</w:t>
      </w:r>
      <w:r w:rsidRPr="00845153">
        <w:rPr>
          <w:sz w:val="22"/>
          <w:szCs w:val="22"/>
        </w:rPr>
        <w:t>, 8(2), pp. 51–54.</w:t>
      </w:r>
    </w:p>
    <w:p w14:paraId="08D18591" w14:textId="77777777" w:rsidR="00845153" w:rsidRPr="00845153" w:rsidRDefault="00845153" w:rsidP="00845153">
      <w:pPr>
        <w:pStyle w:val="NormalWeb"/>
        <w:numPr>
          <w:ilvl w:val="0"/>
          <w:numId w:val="32"/>
        </w:numPr>
        <w:ind w:left="450"/>
        <w:jc w:val="both"/>
        <w:rPr>
          <w:sz w:val="22"/>
          <w:szCs w:val="22"/>
        </w:rPr>
      </w:pPr>
      <w:r w:rsidRPr="00845153">
        <w:rPr>
          <w:sz w:val="22"/>
          <w:szCs w:val="22"/>
        </w:rPr>
        <w:t xml:space="preserve">Zhang, X., Mobeen, R., Durr, N.J. &amp; </w:t>
      </w:r>
      <w:proofErr w:type="spellStart"/>
      <w:r w:rsidRPr="00845153">
        <w:rPr>
          <w:sz w:val="22"/>
          <w:szCs w:val="22"/>
        </w:rPr>
        <w:t>Elshout</w:t>
      </w:r>
      <w:proofErr w:type="spellEnd"/>
      <w:r w:rsidRPr="00845153">
        <w:rPr>
          <w:sz w:val="22"/>
          <w:szCs w:val="22"/>
        </w:rPr>
        <w:t xml:space="preserve">, P.J. (2017) ‘Dry eye management: targeting the ocular surface microenvironment’, </w:t>
      </w:r>
      <w:r w:rsidRPr="00845153">
        <w:rPr>
          <w:rStyle w:val="Emphasis"/>
          <w:sz w:val="22"/>
          <w:szCs w:val="22"/>
        </w:rPr>
        <w:t>International Journal of Molecular Sciences</w:t>
      </w:r>
      <w:r w:rsidRPr="00845153">
        <w:rPr>
          <w:sz w:val="22"/>
          <w:szCs w:val="22"/>
        </w:rPr>
        <w:t>, 18(7), p. 1398.</w:t>
      </w:r>
    </w:p>
    <w:p w14:paraId="68FDC4B2" w14:textId="3B39DF75" w:rsidR="00845153" w:rsidRPr="00845153" w:rsidRDefault="00845153" w:rsidP="00845153">
      <w:pPr>
        <w:pStyle w:val="NormalWeb"/>
        <w:numPr>
          <w:ilvl w:val="0"/>
          <w:numId w:val="32"/>
        </w:numPr>
        <w:ind w:left="450"/>
        <w:jc w:val="both"/>
        <w:rPr>
          <w:sz w:val="22"/>
          <w:szCs w:val="22"/>
        </w:rPr>
      </w:pPr>
      <w:r w:rsidRPr="00845153">
        <w:rPr>
          <w:sz w:val="22"/>
          <w:szCs w:val="22"/>
        </w:rPr>
        <w:t xml:space="preserve">Napolitano, P., De Rosa, N., Cennamo, M., (2021) ‘Influence of gut microbiota on eye diseases: An overview’, </w:t>
      </w:r>
      <w:r w:rsidRPr="00845153">
        <w:rPr>
          <w:rStyle w:val="Emphasis"/>
          <w:sz w:val="22"/>
          <w:szCs w:val="22"/>
        </w:rPr>
        <w:t>Annals of Medicine</w:t>
      </w:r>
      <w:r w:rsidRPr="00845153">
        <w:rPr>
          <w:sz w:val="22"/>
          <w:szCs w:val="22"/>
        </w:rPr>
        <w:t>, 53(1), pp. 750–761.</w:t>
      </w:r>
    </w:p>
    <w:p w14:paraId="6A6FC344" w14:textId="529F101C" w:rsidR="00845153" w:rsidRPr="00845153" w:rsidRDefault="00845153" w:rsidP="00845153">
      <w:pPr>
        <w:pStyle w:val="NormalWeb"/>
        <w:numPr>
          <w:ilvl w:val="0"/>
          <w:numId w:val="32"/>
        </w:numPr>
        <w:ind w:left="450"/>
        <w:jc w:val="both"/>
        <w:rPr>
          <w:sz w:val="22"/>
          <w:szCs w:val="22"/>
        </w:rPr>
      </w:pPr>
      <w:proofErr w:type="spellStart"/>
      <w:r w:rsidRPr="00845153">
        <w:rPr>
          <w:sz w:val="22"/>
          <w:szCs w:val="22"/>
        </w:rPr>
        <w:t>Zysset</w:t>
      </w:r>
      <w:proofErr w:type="spellEnd"/>
      <w:r w:rsidRPr="00845153">
        <w:rPr>
          <w:sz w:val="22"/>
          <w:szCs w:val="22"/>
        </w:rPr>
        <w:t xml:space="preserve">-Burri, D.C., Morandi, E., Herzog, S.A., (2023) ‘The role of the gut microbiome in eye diseases’, </w:t>
      </w:r>
      <w:r w:rsidRPr="00845153">
        <w:rPr>
          <w:rStyle w:val="Emphasis"/>
          <w:sz w:val="22"/>
          <w:szCs w:val="22"/>
        </w:rPr>
        <w:t>Progress in Retinal and Eye Research</w:t>
      </w:r>
      <w:r w:rsidRPr="00845153">
        <w:rPr>
          <w:sz w:val="22"/>
          <w:szCs w:val="22"/>
        </w:rPr>
        <w:t>, 92, p. 101117.</w:t>
      </w:r>
    </w:p>
    <w:p w14:paraId="5CA30967" w14:textId="43D161BB" w:rsidR="00845153" w:rsidRPr="00845153" w:rsidRDefault="00845153" w:rsidP="00845153">
      <w:pPr>
        <w:pStyle w:val="NormalWeb"/>
        <w:numPr>
          <w:ilvl w:val="0"/>
          <w:numId w:val="32"/>
        </w:numPr>
        <w:ind w:left="450"/>
        <w:jc w:val="both"/>
        <w:rPr>
          <w:sz w:val="22"/>
          <w:szCs w:val="22"/>
        </w:rPr>
      </w:pPr>
      <w:proofErr w:type="spellStart"/>
      <w:r w:rsidRPr="00845153">
        <w:rPr>
          <w:sz w:val="22"/>
          <w:szCs w:val="22"/>
        </w:rPr>
        <w:t>Tîrziu</w:t>
      </w:r>
      <w:proofErr w:type="spellEnd"/>
      <w:r w:rsidRPr="00845153">
        <w:rPr>
          <w:sz w:val="22"/>
          <w:szCs w:val="22"/>
        </w:rPr>
        <w:t xml:space="preserve">, A.T., </w:t>
      </w:r>
      <w:proofErr w:type="spellStart"/>
      <w:r w:rsidRPr="00845153">
        <w:rPr>
          <w:sz w:val="22"/>
          <w:szCs w:val="22"/>
        </w:rPr>
        <w:t>Călărașu</w:t>
      </w:r>
      <w:proofErr w:type="spellEnd"/>
      <w:r w:rsidRPr="00845153">
        <w:rPr>
          <w:sz w:val="22"/>
          <w:szCs w:val="22"/>
        </w:rPr>
        <w:t xml:space="preserve">, A., Cernescu, I., (2024) ‘From gut to eye: Exploring the role of microbiome imbalance in ocular diseases’, </w:t>
      </w:r>
      <w:r w:rsidRPr="00845153">
        <w:rPr>
          <w:rStyle w:val="Emphasis"/>
          <w:sz w:val="22"/>
          <w:szCs w:val="22"/>
        </w:rPr>
        <w:t>Journal of Clinical Medicine</w:t>
      </w:r>
      <w:r w:rsidRPr="00845153">
        <w:rPr>
          <w:sz w:val="22"/>
          <w:szCs w:val="22"/>
        </w:rPr>
        <w:t>, 13(18), p. 5611.</w:t>
      </w:r>
    </w:p>
    <w:p w14:paraId="75AC9E5D" w14:textId="77777777" w:rsidR="00845153" w:rsidRPr="00845153" w:rsidRDefault="00845153" w:rsidP="00845153">
      <w:pPr>
        <w:pStyle w:val="NormalWeb"/>
        <w:numPr>
          <w:ilvl w:val="0"/>
          <w:numId w:val="32"/>
        </w:numPr>
        <w:ind w:left="450"/>
        <w:jc w:val="both"/>
        <w:rPr>
          <w:sz w:val="22"/>
          <w:szCs w:val="22"/>
        </w:rPr>
      </w:pPr>
      <w:r w:rsidRPr="00845153">
        <w:rPr>
          <w:sz w:val="22"/>
          <w:szCs w:val="22"/>
        </w:rPr>
        <w:t xml:space="preserve">Zhao, Y., Qiu, P. &amp; Shen, T. (2024) ‘Gut microbiota and eye diseases: A review’, </w:t>
      </w:r>
      <w:r w:rsidRPr="00845153">
        <w:rPr>
          <w:rStyle w:val="Emphasis"/>
          <w:sz w:val="22"/>
          <w:szCs w:val="22"/>
        </w:rPr>
        <w:t>Medicine (Baltimore)</w:t>
      </w:r>
      <w:r w:rsidRPr="00845153">
        <w:rPr>
          <w:sz w:val="22"/>
          <w:szCs w:val="22"/>
        </w:rPr>
        <w:t>, 103(39), p. e39866.</w:t>
      </w:r>
    </w:p>
    <w:p w14:paraId="7A444FD7" w14:textId="77777777" w:rsidR="00845153" w:rsidRPr="00845153" w:rsidRDefault="00845153" w:rsidP="00845153">
      <w:pPr>
        <w:pStyle w:val="NormalWeb"/>
        <w:numPr>
          <w:ilvl w:val="0"/>
          <w:numId w:val="32"/>
        </w:numPr>
        <w:ind w:left="450"/>
        <w:jc w:val="both"/>
        <w:rPr>
          <w:sz w:val="22"/>
          <w:szCs w:val="22"/>
        </w:rPr>
      </w:pPr>
      <w:r w:rsidRPr="00845153">
        <w:rPr>
          <w:sz w:val="22"/>
          <w:szCs w:val="22"/>
        </w:rPr>
        <w:t xml:space="preserve">Findlay, Q. &amp; Reid, K. (2018) ‘Dry eye disease: when to treat and when to refer’, </w:t>
      </w:r>
      <w:r w:rsidRPr="00845153">
        <w:rPr>
          <w:rStyle w:val="Emphasis"/>
          <w:sz w:val="22"/>
          <w:szCs w:val="22"/>
        </w:rPr>
        <w:t>Australian Prescriber</w:t>
      </w:r>
      <w:r w:rsidRPr="00845153">
        <w:rPr>
          <w:sz w:val="22"/>
          <w:szCs w:val="22"/>
        </w:rPr>
        <w:t>, 41(5), pp. 160–163.</w:t>
      </w:r>
    </w:p>
    <w:p w14:paraId="29B7E743" w14:textId="77777777" w:rsidR="00845153" w:rsidRPr="00845153" w:rsidRDefault="00845153" w:rsidP="00845153">
      <w:pPr>
        <w:pStyle w:val="NormalWeb"/>
        <w:numPr>
          <w:ilvl w:val="0"/>
          <w:numId w:val="32"/>
        </w:numPr>
        <w:ind w:left="450"/>
        <w:jc w:val="both"/>
        <w:rPr>
          <w:sz w:val="22"/>
          <w:szCs w:val="22"/>
        </w:rPr>
      </w:pPr>
      <w:r w:rsidRPr="00845153">
        <w:rPr>
          <w:sz w:val="22"/>
          <w:szCs w:val="22"/>
        </w:rPr>
        <w:t xml:space="preserve">Wang, J., Zhu, N., Su, X., Gao, Y. &amp; Yang, R. (2023) ‘Gut-microbiota-derived metabolites maintain gut and systemic immune homeostasis’, </w:t>
      </w:r>
      <w:r w:rsidRPr="00845153">
        <w:rPr>
          <w:rStyle w:val="Emphasis"/>
          <w:sz w:val="22"/>
          <w:szCs w:val="22"/>
        </w:rPr>
        <w:t>Cells</w:t>
      </w:r>
      <w:r w:rsidRPr="00845153">
        <w:rPr>
          <w:sz w:val="22"/>
          <w:szCs w:val="22"/>
        </w:rPr>
        <w:t>, 12(5), p. 793.</w:t>
      </w:r>
    </w:p>
    <w:p w14:paraId="0F2FCE6F" w14:textId="77777777" w:rsidR="00845153" w:rsidRPr="00845153" w:rsidRDefault="00845153" w:rsidP="00845153">
      <w:pPr>
        <w:pStyle w:val="NormalWeb"/>
        <w:numPr>
          <w:ilvl w:val="0"/>
          <w:numId w:val="32"/>
        </w:numPr>
        <w:ind w:left="450"/>
        <w:jc w:val="both"/>
        <w:rPr>
          <w:sz w:val="22"/>
          <w:szCs w:val="22"/>
        </w:rPr>
      </w:pPr>
      <w:r w:rsidRPr="00845153">
        <w:rPr>
          <w:sz w:val="22"/>
          <w:szCs w:val="22"/>
        </w:rPr>
        <w:t xml:space="preserve">Sun, L. &amp; Ye, R.D. (2012) ‘Role of G protein-coupled receptors in inflammation’, </w:t>
      </w:r>
      <w:r w:rsidRPr="00845153">
        <w:rPr>
          <w:rStyle w:val="Emphasis"/>
          <w:sz w:val="22"/>
          <w:szCs w:val="22"/>
        </w:rPr>
        <w:t xml:space="preserve">Acta </w:t>
      </w:r>
      <w:proofErr w:type="spellStart"/>
      <w:r w:rsidRPr="00845153">
        <w:rPr>
          <w:rStyle w:val="Emphasis"/>
          <w:sz w:val="22"/>
          <w:szCs w:val="22"/>
        </w:rPr>
        <w:t>Pharmacologica</w:t>
      </w:r>
      <w:proofErr w:type="spellEnd"/>
      <w:r w:rsidRPr="00845153">
        <w:rPr>
          <w:rStyle w:val="Emphasis"/>
          <w:sz w:val="22"/>
          <w:szCs w:val="22"/>
        </w:rPr>
        <w:t xml:space="preserve"> Sinica</w:t>
      </w:r>
      <w:r w:rsidRPr="00845153">
        <w:rPr>
          <w:sz w:val="22"/>
          <w:szCs w:val="22"/>
        </w:rPr>
        <w:t>, 33(3), pp. 342–350.</w:t>
      </w:r>
    </w:p>
    <w:p w14:paraId="380F2AAD" w14:textId="4AF56931" w:rsidR="00845153" w:rsidRPr="00845153" w:rsidRDefault="00845153" w:rsidP="00845153">
      <w:pPr>
        <w:pStyle w:val="NormalWeb"/>
        <w:numPr>
          <w:ilvl w:val="0"/>
          <w:numId w:val="32"/>
        </w:numPr>
        <w:ind w:left="450"/>
        <w:jc w:val="both"/>
        <w:rPr>
          <w:sz w:val="22"/>
          <w:szCs w:val="22"/>
        </w:rPr>
      </w:pPr>
      <w:r w:rsidRPr="00845153">
        <w:rPr>
          <w:sz w:val="22"/>
          <w:szCs w:val="22"/>
        </w:rPr>
        <w:t xml:space="preserve">Bhattacharya, K., Bhattacharya, S., (2021) ‘Coronavirus Disease 2019 (COVID-19) and Pregnancy’, </w:t>
      </w:r>
      <w:r w:rsidRPr="00845153">
        <w:rPr>
          <w:rStyle w:val="Emphasis"/>
          <w:sz w:val="22"/>
          <w:szCs w:val="22"/>
        </w:rPr>
        <w:t>Biomedical Pharmacology Journal</w:t>
      </w:r>
      <w:r w:rsidRPr="00845153">
        <w:rPr>
          <w:sz w:val="22"/>
          <w:szCs w:val="22"/>
        </w:rPr>
        <w:t xml:space="preserve">, 14(3). Available at: </w:t>
      </w:r>
      <w:hyperlink r:id="rId16" w:history="1">
        <w:r w:rsidRPr="00845153">
          <w:rPr>
            <w:rStyle w:val="Hyperlink"/>
            <w:sz w:val="22"/>
            <w:szCs w:val="22"/>
          </w:rPr>
          <w:t>https://dx.doi.org/10.13005/bpj/2219</w:t>
        </w:r>
      </w:hyperlink>
      <w:r w:rsidRPr="00845153">
        <w:rPr>
          <w:sz w:val="22"/>
          <w:szCs w:val="22"/>
        </w:rPr>
        <w:t>.</w:t>
      </w:r>
    </w:p>
    <w:p w14:paraId="38E50B16" w14:textId="1686C30C" w:rsidR="00845153" w:rsidRPr="00845153" w:rsidRDefault="00845153" w:rsidP="00845153">
      <w:pPr>
        <w:pStyle w:val="NormalWeb"/>
        <w:numPr>
          <w:ilvl w:val="0"/>
          <w:numId w:val="32"/>
        </w:numPr>
        <w:ind w:left="450"/>
        <w:jc w:val="both"/>
        <w:rPr>
          <w:sz w:val="22"/>
          <w:szCs w:val="22"/>
        </w:rPr>
      </w:pPr>
      <w:r w:rsidRPr="00845153">
        <w:rPr>
          <w:sz w:val="22"/>
          <w:szCs w:val="22"/>
        </w:rPr>
        <w:t xml:space="preserve">Dey, R., Bhattacharya, K., Basak, A.K., (2023) ‘Inflammatory perspectives of polycystic ovary syndrome: role of specific mediators and markers’, </w:t>
      </w:r>
      <w:r w:rsidRPr="00845153">
        <w:rPr>
          <w:rStyle w:val="Emphasis"/>
          <w:sz w:val="22"/>
          <w:szCs w:val="22"/>
        </w:rPr>
        <w:t>Middle East Fertility Society Journal</w:t>
      </w:r>
      <w:r w:rsidRPr="00845153">
        <w:rPr>
          <w:sz w:val="22"/>
          <w:szCs w:val="22"/>
        </w:rPr>
        <w:t>, 28, p. 33.</w:t>
      </w:r>
    </w:p>
    <w:p w14:paraId="45E71579" w14:textId="5CB13D3A" w:rsidR="00845153" w:rsidRPr="00845153" w:rsidRDefault="00845153" w:rsidP="00845153">
      <w:pPr>
        <w:pStyle w:val="NormalWeb"/>
        <w:numPr>
          <w:ilvl w:val="0"/>
          <w:numId w:val="32"/>
        </w:numPr>
        <w:ind w:left="450"/>
        <w:jc w:val="both"/>
        <w:rPr>
          <w:sz w:val="22"/>
          <w:szCs w:val="22"/>
        </w:rPr>
      </w:pPr>
      <w:r w:rsidRPr="00845153">
        <w:rPr>
          <w:sz w:val="22"/>
          <w:szCs w:val="22"/>
        </w:rPr>
        <w:t xml:space="preserve">Bhattacharya, K., Bhattacharya, S., (2021) ‘SARS-CoV-2 infection and human semen: possible modes of contamination and transmission’, </w:t>
      </w:r>
      <w:r w:rsidRPr="00845153">
        <w:rPr>
          <w:rStyle w:val="Emphasis"/>
          <w:sz w:val="22"/>
          <w:szCs w:val="22"/>
        </w:rPr>
        <w:t>Middle East Fertility Society Journal</w:t>
      </w:r>
      <w:r w:rsidRPr="00845153">
        <w:rPr>
          <w:sz w:val="22"/>
          <w:szCs w:val="22"/>
        </w:rPr>
        <w:t xml:space="preserve">, 26(1), p. 18. Available at: </w:t>
      </w:r>
      <w:hyperlink r:id="rId17" w:history="1">
        <w:r w:rsidRPr="00845153">
          <w:rPr>
            <w:rStyle w:val="Hyperlink"/>
            <w:sz w:val="22"/>
            <w:szCs w:val="22"/>
          </w:rPr>
          <w:t>https://doi.org/10.1186/s43043-021-00063-6</w:t>
        </w:r>
      </w:hyperlink>
      <w:r w:rsidRPr="00845153">
        <w:rPr>
          <w:sz w:val="22"/>
          <w:szCs w:val="22"/>
        </w:rPr>
        <w:t>.</w:t>
      </w:r>
    </w:p>
    <w:p w14:paraId="4D2F8B90" w14:textId="12DA986D" w:rsidR="00845153" w:rsidRPr="00845153" w:rsidRDefault="00845153" w:rsidP="00845153">
      <w:pPr>
        <w:pStyle w:val="NormalWeb"/>
        <w:numPr>
          <w:ilvl w:val="0"/>
          <w:numId w:val="32"/>
        </w:numPr>
        <w:ind w:left="450"/>
        <w:jc w:val="both"/>
        <w:rPr>
          <w:sz w:val="22"/>
          <w:szCs w:val="22"/>
        </w:rPr>
      </w:pPr>
      <w:r w:rsidRPr="00845153">
        <w:rPr>
          <w:sz w:val="22"/>
          <w:szCs w:val="22"/>
        </w:rPr>
        <w:t xml:space="preserve">Kulshrestha, R., (2020) ‘Periodontitis as an Independent Factor in Pathogenesis of Erectile Dysfunction’, </w:t>
      </w:r>
      <w:r w:rsidRPr="00845153">
        <w:rPr>
          <w:rStyle w:val="Emphasis"/>
          <w:sz w:val="22"/>
          <w:szCs w:val="22"/>
        </w:rPr>
        <w:t>Biomedical Pharmacology Journal</w:t>
      </w:r>
      <w:r w:rsidRPr="00845153">
        <w:rPr>
          <w:sz w:val="22"/>
          <w:szCs w:val="22"/>
        </w:rPr>
        <w:t xml:space="preserve">, 13(1). Available at: </w:t>
      </w:r>
      <w:hyperlink r:id="rId18" w:history="1">
        <w:r w:rsidRPr="00845153">
          <w:rPr>
            <w:rStyle w:val="Hyperlink"/>
            <w:sz w:val="22"/>
            <w:szCs w:val="22"/>
          </w:rPr>
          <w:t>https://dx.doi.org/10.13005/bpj/1852</w:t>
        </w:r>
      </w:hyperlink>
      <w:r w:rsidRPr="00845153">
        <w:rPr>
          <w:sz w:val="22"/>
          <w:szCs w:val="22"/>
        </w:rPr>
        <w:t>.</w:t>
      </w:r>
    </w:p>
    <w:p w14:paraId="3409ED87" w14:textId="67164711" w:rsidR="00845153" w:rsidRPr="00845153" w:rsidRDefault="00845153" w:rsidP="00845153">
      <w:pPr>
        <w:pStyle w:val="NormalWeb"/>
        <w:numPr>
          <w:ilvl w:val="0"/>
          <w:numId w:val="32"/>
        </w:numPr>
        <w:ind w:left="450"/>
        <w:jc w:val="both"/>
        <w:rPr>
          <w:sz w:val="22"/>
          <w:szCs w:val="22"/>
        </w:rPr>
      </w:pPr>
      <w:r w:rsidRPr="00845153">
        <w:rPr>
          <w:sz w:val="22"/>
          <w:szCs w:val="22"/>
          <w:lang w:val="en-US"/>
        </w:rPr>
        <w:t xml:space="preserve">Peng, L., Li, Z.R., Greenberg, J.Z., </w:t>
      </w:r>
      <w:r w:rsidRPr="00845153">
        <w:rPr>
          <w:sz w:val="22"/>
          <w:szCs w:val="22"/>
        </w:rPr>
        <w:t xml:space="preserve">(2009) ‘Butyrate enhances the intestinal barrier by facilitating tight junction assembly via activation </w:t>
      </w:r>
      <w:r w:rsidRPr="00845153">
        <w:rPr>
          <w:sz w:val="22"/>
          <w:szCs w:val="22"/>
        </w:rPr>
        <w:lastRenderedPageBreak/>
        <w:t xml:space="preserve">of AMP-activated protein kinase in Caco-2 cell monolayers’, </w:t>
      </w:r>
      <w:r w:rsidRPr="00845153">
        <w:rPr>
          <w:rStyle w:val="Emphasis"/>
          <w:sz w:val="22"/>
          <w:szCs w:val="22"/>
        </w:rPr>
        <w:t>Journal of Nutrition</w:t>
      </w:r>
      <w:r w:rsidRPr="00845153">
        <w:rPr>
          <w:sz w:val="22"/>
          <w:szCs w:val="22"/>
        </w:rPr>
        <w:t>, 139(9), pp. 1619–1625.</w:t>
      </w:r>
    </w:p>
    <w:p w14:paraId="7BEA2231" w14:textId="77777777" w:rsidR="00845153" w:rsidRPr="00845153" w:rsidRDefault="00845153" w:rsidP="00845153">
      <w:pPr>
        <w:pStyle w:val="NormalWeb"/>
        <w:numPr>
          <w:ilvl w:val="0"/>
          <w:numId w:val="32"/>
        </w:numPr>
        <w:ind w:left="450"/>
        <w:jc w:val="both"/>
        <w:rPr>
          <w:sz w:val="22"/>
          <w:szCs w:val="22"/>
        </w:rPr>
      </w:pPr>
      <w:r w:rsidRPr="00845153">
        <w:rPr>
          <w:sz w:val="22"/>
          <w:szCs w:val="22"/>
        </w:rPr>
        <w:t xml:space="preserve">Brown, E.M., Clardy, J. &amp; Xavier, R.J. (2023) ‘Gut microbiome lipid metabolism and its impact on host physiology’, </w:t>
      </w:r>
      <w:r w:rsidRPr="00845153">
        <w:rPr>
          <w:rStyle w:val="Emphasis"/>
          <w:sz w:val="22"/>
          <w:szCs w:val="22"/>
        </w:rPr>
        <w:t>Cell Host &amp; Microbe</w:t>
      </w:r>
      <w:r w:rsidRPr="00845153">
        <w:rPr>
          <w:sz w:val="22"/>
          <w:szCs w:val="22"/>
        </w:rPr>
        <w:t>, 31(2), pp. 173–186.</w:t>
      </w:r>
    </w:p>
    <w:p w14:paraId="602E9CF2" w14:textId="363E6AD0" w:rsidR="00845153" w:rsidRPr="00845153" w:rsidRDefault="00845153" w:rsidP="00845153">
      <w:pPr>
        <w:pStyle w:val="NormalWeb"/>
        <w:numPr>
          <w:ilvl w:val="0"/>
          <w:numId w:val="32"/>
        </w:numPr>
        <w:ind w:left="450"/>
        <w:jc w:val="both"/>
        <w:rPr>
          <w:sz w:val="22"/>
          <w:szCs w:val="22"/>
        </w:rPr>
      </w:pPr>
      <w:r w:rsidRPr="00845153">
        <w:rPr>
          <w:sz w:val="22"/>
          <w:szCs w:val="22"/>
        </w:rPr>
        <w:t xml:space="preserve">Calzadilla, N., (2022) ‘Bile acids as inflammatory mediators and modulators of intestinal permeability’, </w:t>
      </w:r>
      <w:r w:rsidRPr="00845153">
        <w:rPr>
          <w:rStyle w:val="Emphasis"/>
          <w:sz w:val="22"/>
          <w:szCs w:val="22"/>
        </w:rPr>
        <w:t>Frontiers in Immunology</w:t>
      </w:r>
      <w:r w:rsidRPr="00845153">
        <w:rPr>
          <w:sz w:val="22"/>
          <w:szCs w:val="22"/>
        </w:rPr>
        <w:t>, 13, p. 1021924.</w:t>
      </w:r>
    </w:p>
    <w:p w14:paraId="7747E686" w14:textId="77777777" w:rsidR="00845153" w:rsidRPr="00845153" w:rsidRDefault="00845153" w:rsidP="00845153">
      <w:pPr>
        <w:pStyle w:val="NormalWeb"/>
        <w:numPr>
          <w:ilvl w:val="0"/>
          <w:numId w:val="32"/>
        </w:numPr>
        <w:ind w:left="450"/>
        <w:jc w:val="both"/>
        <w:rPr>
          <w:sz w:val="22"/>
          <w:szCs w:val="22"/>
        </w:rPr>
      </w:pPr>
      <w:r w:rsidRPr="00845153">
        <w:rPr>
          <w:sz w:val="22"/>
          <w:szCs w:val="22"/>
        </w:rPr>
        <w:t xml:space="preserve">Bertolini, A., Fiorotto, R. &amp; </w:t>
      </w:r>
      <w:proofErr w:type="spellStart"/>
      <w:r w:rsidRPr="00845153">
        <w:rPr>
          <w:sz w:val="22"/>
          <w:szCs w:val="22"/>
        </w:rPr>
        <w:t>Strazzabosco</w:t>
      </w:r>
      <w:proofErr w:type="spellEnd"/>
      <w:r w:rsidRPr="00845153">
        <w:rPr>
          <w:sz w:val="22"/>
          <w:szCs w:val="22"/>
        </w:rPr>
        <w:t xml:space="preserve">, M. (2022) ‘Bile acids and their receptors: modulators and therapeutic targets in liver inflammation’, </w:t>
      </w:r>
      <w:r w:rsidRPr="00845153">
        <w:rPr>
          <w:rStyle w:val="Emphasis"/>
          <w:sz w:val="22"/>
          <w:szCs w:val="22"/>
        </w:rPr>
        <w:t>Seminars in Immunopathology</w:t>
      </w:r>
      <w:r w:rsidRPr="00845153">
        <w:rPr>
          <w:sz w:val="22"/>
          <w:szCs w:val="22"/>
        </w:rPr>
        <w:t>, 44(4), pp. 547–564.</w:t>
      </w:r>
    </w:p>
    <w:p w14:paraId="51114D72"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De Paiva, C.S., </w:t>
      </w:r>
      <w:proofErr w:type="spellStart"/>
      <w:r w:rsidRPr="00125FAF">
        <w:rPr>
          <w:sz w:val="22"/>
          <w:szCs w:val="22"/>
        </w:rPr>
        <w:t>Chotikavanich</w:t>
      </w:r>
      <w:proofErr w:type="spellEnd"/>
      <w:r w:rsidRPr="00125FAF">
        <w:rPr>
          <w:sz w:val="22"/>
          <w:szCs w:val="22"/>
        </w:rPr>
        <w:t xml:space="preserve">, S., Pangelinan, S.B., Pitcher, J.D. III, Fang, B., Zheng, X., Ma, P., Farley, W.J., Siemasko, K.F., Niederkorn, J.Y., Stern, M.E., Li, D.Q. &amp; Pflugfelder, S.C. (2009) ‘IL-17 disrupts corneal barrier following desiccating stress’, </w:t>
      </w:r>
      <w:r w:rsidRPr="00125FAF">
        <w:rPr>
          <w:rStyle w:val="Emphasis"/>
          <w:sz w:val="22"/>
          <w:szCs w:val="22"/>
        </w:rPr>
        <w:t>Mucosal Immunology</w:t>
      </w:r>
      <w:r w:rsidRPr="00125FAF">
        <w:rPr>
          <w:sz w:val="22"/>
          <w:szCs w:val="22"/>
        </w:rPr>
        <w:t>, 2(3), pp. 243–253.</w:t>
      </w:r>
    </w:p>
    <w:p w14:paraId="1FD4EFD3"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Song, W., Yue, Y. &amp; Zhang, Q. (2023) ‘Imbalance of gut microbiota is involved in the development of chronic obstructive pulmonary disease: A review’, </w:t>
      </w:r>
      <w:r w:rsidRPr="00125FAF">
        <w:rPr>
          <w:rStyle w:val="Emphasis"/>
          <w:sz w:val="22"/>
          <w:szCs w:val="22"/>
        </w:rPr>
        <w:t>Biomedicine &amp; Pharmacotherapy</w:t>
      </w:r>
      <w:r w:rsidRPr="00125FAF">
        <w:rPr>
          <w:sz w:val="22"/>
          <w:szCs w:val="22"/>
        </w:rPr>
        <w:t>, 165, p. 115150.</w:t>
      </w:r>
    </w:p>
    <w:p w14:paraId="47012A39"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Rao, S.K., Mohan, R., Gokhale, N., </w:t>
      </w:r>
      <w:proofErr w:type="spellStart"/>
      <w:r w:rsidRPr="00125FAF">
        <w:rPr>
          <w:sz w:val="22"/>
          <w:szCs w:val="22"/>
        </w:rPr>
        <w:t>Matalia</w:t>
      </w:r>
      <w:proofErr w:type="spellEnd"/>
      <w:r w:rsidRPr="00125FAF">
        <w:rPr>
          <w:sz w:val="22"/>
          <w:szCs w:val="22"/>
        </w:rPr>
        <w:t xml:space="preserve">, H. &amp; Mehta, P. (2022) ‘Inflammation and dry eye disease—where are we?’, </w:t>
      </w:r>
      <w:r w:rsidRPr="00125FAF">
        <w:rPr>
          <w:rStyle w:val="Emphasis"/>
          <w:sz w:val="22"/>
          <w:szCs w:val="22"/>
        </w:rPr>
        <w:t>International Journal of Ophthalmology</w:t>
      </w:r>
      <w:r w:rsidRPr="00125FAF">
        <w:rPr>
          <w:sz w:val="22"/>
          <w:szCs w:val="22"/>
        </w:rPr>
        <w:t>, 15(5), pp. 820–827.</w:t>
      </w:r>
    </w:p>
    <w:p w14:paraId="12BDABDE"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Belkaid, Y. &amp; Hand, T.W. (2014) ‘Role of the microbiota in immunity and inflammation’, </w:t>
      </w:r>
      <w:r w:rsidRPr="00125FAF">
        <w:rPr>
          <w:rStyle w:val="Emphasis"/>
          <w:sz w:val="22"/>
          <w:szCs w:val="22"/>
        </w:rPr>
        <w:t>Cell</w:t>
      </w:r>
      <w:r w:rsidRPr="00125FAF">
        <w:rPr>
          <w:sz w:val="22"/>
          <w:szCs w:val="22"/>
        </w:rPr>
        <w:t>, 157(1), pp. 121–141.</w:t>
      </w:r>
    </w:p>
    <w:p w14:paraId="1177315A"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Li, M., Li, M., Dai, Y., Li, D., Yu, H., Liu, J., Gao, H., Zhong, Y., Huang, M., Lin, J., Xie, Y., Guo, Z. &amp; Chen, X. (2023) ‘16S rRNA gene sequencing reveals the correlation between the gut microbiota and the susceptibility to pathological scars’, </w:t>
      </w:r>
      <w:r w:rsidRPr="00125FAF">
        <w:rPr>
          <w:rStyle w:val="Emphasis"/>
          <w:sz w:val="22"/>
          <w:szCs w:val="22"/>
        </w:rPr>
        <w:t>Frontiers in Microbiology</w:t>
      </w:r>
      <w:r w:rsidRPr="00125FAF">
        <w:rPr>
          <w:sz w:val="22"/>
          <w:szCs w:val="22"/>
        </w:rPr>
        <w:t>, 14, p. 1215884.</w:t>
      </w:r>
    </w:p>
    <w:p w14:paraId="24AD0B09"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Tavakoli, A., </w:t>
      </w:r>
      <w:proofErr w:type="spellStart"/>
      <w:r w:rsidRPr="00125FAF">
        <w:rPr>
          <w:sz w:val="22"/>
          <w:szCs w:val="22"/>
        </w:rPr>
        <w:t>Markoulli</w:t>
      </w:r>
      <w:proofErr w:type="spellEnd"/>
      <w:r w:rsidRPr="00125FAF">
        <w:rPr>
          <w:sz w:val="22"/>
          <w:szCs w:val="22"/>
        </w:rPr>
        <w:t xml:space="preserve">, M., Papas, E. &amp; Flanagan, J. (2022) ‘The impact of probiotics and prebiotics on dry eye disease signs and symptoms’, </w:t>
      </w:r>
      <w:r w:rsidRPr="00125FAF">
        <w:rPr>
          <w:rStyle w:val="Emphasis"/>
          <w:sz w:val="22"/>
          <w:szCs w:val="22"/>
        </w:rPr>
        <w:t>Journal of Clinical Medicine</w:t>
      </w:r>
      <w:r w:rsidRPr="00125FAF">
        <w:rPr>
          <w:sz w:val="22"/>
          <w:szCs w:val="22"/>
        </w:rPr>
        <w:t>, 11(16), p. 4889.</w:t>
      </w:r>
    </w:p>
    <w:p w14:paraId="1D8D1ABC"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Zhang, Z., Zou, X., Xue, W., Zhang, P., Wang, S. &amp; Zou, H. (2021) ‘Ocular surface microbiota in diabetic patients with dry eye disease’, </w:t>
      </w:r>
      <w:r w:rsidRPr="00125FAF">
        <w:rPr>
          <w:rStyle w:val="Emphasis"/>
          <w:sz w:val="22"/>
          <w:szCs w:val="22"/>
        </w:rPr>
        <w:t>Investigative Ophthalmology &amp; Visual Science</w:t>
      </w:r>
      <w:r w:rsidRPr="00125FAF">
        <w:rPr>
          <w:sz w:val="22"/>
          <w:szCs w:val="22"/>
        </w:rPr>
        <w:t>, 62(12), p. 13.</w:t>
      </w:r>
    </w:p>
    <w:p w14:paraId="49475631"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Chen, J. &amp; Vitetta, L. (2021) ‘Modulation of Gut Microbiota for the Prevention and Treatment of COVID-19’, </w:t>
      </w:r>
      <w:r w:rsidRPr="00125FAF">
        <w:rPr>
          <w:rStyle w:val="Emphasis"/>
          <w:sz w:val="22"/>
          <w:szCs w:val="22"/>
        </w:rPr>
        <w:t>Journal of Clinical Medicine</w:t>
      </w:r>
      <w:r w:rsidRPr="00125FAF">
        <w:rPr>
          <w:sz w:val="22"/>
          <w:szCs w:val="22"/>
        </w:rPr>
        <w:t>, 10(13), p. 2903.</w:t>
      </w:r>
    </w:p>
    <w:p w14:paraId="50C282F8"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Yoo, J.Y., Groer, M., Ozorio Dutra, S.V., Sarkar, A. &amp; McSkimming, D.I. (2020) ‘Gut microbiota and immune system interactions’, </w:t>
      </w:r>
      <w:r w:rsidRPr="00125FAF">
        <w:rPr>
          <w:rStyle w:val="Emphasis"/>
          <w:sz w:val="22"/>
          <w:szCs w:val="22"/>
        </w:rPr>
        <w:t>Microorganisms</w:t>
      </w:r>
      <w:r w:rsidRPr="00125FAF">
        <w:rPr>
          <w:sz w:val="22"/>
          <w:szCs w:val="22"/>
        </w:rPr>
        <w:t>, 8(10), p. 1587.</w:t>
      </w:r>
    </w:p>
    <w:p w14:paraId="512756E2"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Wallen, Z.D., Demirkan, A., Twa, G., Cohen, G., Dean, M.N., Standaert, D.G., Sampson, T.R. &amp; Payami, H. (2022) ‘Metagenomics of Parkinson’s disease implicates the gut microbiome in multiple disease mechanisms’, </w:t>
      </w:r>
      <w:r w:rsidRPr="00125FAF">
        <w:rPr>
          <w:rStyle w:val="Emphasis"/>
          <w:sz w:val="22"/>
          <w:szCs w:val="22"/>
        </w:rPr>
        <w:t>Nature Communications</w:t>
      </w:r>
      <w:r w:rsidRPr="00125FAF">
        <w:rPr>
          <w:sz w:val="22"/>
          <w:szCs w:val="22"/>
        </w:rPr>
        <w:t>, 13(1), p. 6958.</w:t>
      </w:r>
    </w:p>
    <w:p w14:paraId="6D3D006E"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Yun, S.W., Son, Y.H., Lee, D.Y., Shin, Y.J., Han, M.J. &amp; Kim, D.H. (2021) ‘Lactobacillus plantarum and Bifidobacterium bifidum alleviate dry eye in mice with </w:t>
      </w:r>
      <w:proofErr w:type="spellStart"/>
      <w:r w:rsidRPr="00125FAF">
        <w:rPr>
          <w:sz w:val="22"/>
          <w:szCs w:val="22"/>
        </w:rPr>
        <w:t>exorbital</w:t>
      </w:r>
      <w:proofErr w:type="spellEnd"/>
      <w:r w:rsidRPr="00125FAF">
        <w:rPr>
          <w:sz w:val="22"/>
          <w:szCs w:val="22"/>
        </w:rPr>
        <w:t xml:space="preserve"> lacrimal gland excision by modulating gut inflammation and microbiota’, </w:t>
      </w:r>
      <w:r w:rsidRPr="00125FAF">
        <w:rPr>
          <w:rStyle w:val="Emphasis"/>
          <w:sz w:val="22"/>
          <w:szCs w:val="22"/>
        </w:rPr>
        <w:t>Food &amp; Function</w:t>
      </w:r>
      <w:r w:rsidRPr="00125FAF">
        <w:rPr>
          <w:sz w:val="22"/>
          <w:szCs w:val="22"/>
        </w:rPr>
        <w:t>, 12(6), pp. 2489–2497.</w:t>
      </w:r>
    </w:p>
    <w:p w14:paraId="58465E1E"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Tavakoli, A. &amp; Flanagan, J.L. (2019) ‘The case for a more holistic approach to dry eye disease: Is it time to move beyond antibiotics?’, </w:t>
      </w:r>
      <w:r w:rsidRPr="00125FAF">
        <w:rPr>
          <w:rStyle w:val="Emphasis"/>
          <w:sz w:val="22"/>
          <w:szCs w:val="22"/>
        </w:rPr>
        <w:t>Antibiotics (Basel)</w:t>
      </w:r>
      <w:r w:rsidRPr="00125FAF">
        <w:rPr>
          <w:sz w:val="22"/>
          <w:szCs w:val="22"/>
        </w:rPr>
        <w:t>, 8(3), p. 88.</w:t>
      </w:r>
    </w:p>
    <w:p w14:paraId="1E957CF1"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Zhang, Q.Y., Yan, Z.B., Meng, Y.M., Hong, X.Y., Shao, G., Ma, J.J., Cheng, X.R., Liu, J., Kang, J. &amp; Fu, C.Y. (2021) ‘Antimicrobial peptides: mechanism of action, activity and clinical potential’, </w:t>
      </w:r>
      <w:r w:rsidRPr="00125FAF">
        <w:rPr>
          <w:rStyle w:val="Emphasis"/>
          <w:sz w:val="22"/>
          <w:szCs w:val="22"/>
        </w:rPr>
        <w:t>Military Medical Research</w:t>
      </w:r>
      <w:r w:rsidRPr="00125FAF">
        <w:rPr>
          <w:sz w:val="22"/>
          <w:szCs w:val="22"/>
        </w:rPr>
        <w:t>, 8(1), p. 48.</w:t>
      </w:r>
    </w:p>
    <w:p w14:paraId="67E6ED6F" w14:textId="77777777" w:rsidR="00125FAF" w:rsidRPr="00125FAF" w:rsidRDefault="00125FAF" w:rsidP="00125FAF">
      <w:pPr>
        <w:pStyle w:val="NormalWeb"/>
        <w:numPr>
          <w:ilvl w:val="0"/>
          <w:numId w:val="32"/>
        </w:numPr>
        <w:ind w:left="450"/>
        <w:jc w:val="both"/>
        <w:rPr>
          <w:sz w:val="22"/>
          <w:szCs w:val="22"/>
        </w:rPr>
      </w:pPr>
      <w:proofErr w:type="spellStart"/>
      <w:r w:rsidRPr="00125FAF">
        <w:rPr>
          <w:sz w:val="22"/>
          <w:szCs w:val="22"/>
        </w:rPr>
        <w:t>Parua</w:t>
      </w:r>
      <w:proofErr w:type="spellEnd"/>
      <w:r w:rsidRPr="00125FAF">
        <w:rPr>
          <w:sz w:val="22"/>
          <w:szCs w:val="22"/>
        </w:rPr>
        <w:t xml:space="preserve">, S., Das, A., Hazra, A., Chaudhuri, P., Bhattacharya, K., Dutta, S. &amp; Sengupta, P. (2025) ‘Assessing body composition through anthropometry: Implications for diagnosing and managing polycystic ovary syndrome (PCOS)’, </w:t>
      </w:r>
      <w:r w:rsidRPr="00125FAF">
        <w:rPr>
          <w:rStyle w:val="Emphasis"/>
          <w:sz w:val="22"/>
          <w:szCs w:val="22"/>
        </w:rPr>
        <w:t>Clinical Physiology and Functional Imaging</w:t>
      </w:r>
      <w:r w:rsidRPr="00125FAF">
        <w:rPr>
          <w:sz w:val="22"/>
          <w:szCs w:val="22"/>
        </w:rPr>
        <w:t>, 45(1), e12905.</w:t>
      </w:r>
    </w:p>
    <w:p w14:paraId="212FAAE5"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Bose, C., Syamal, A.K. &amp; Bhattacharya, K. (2022) ‘Pattern of dietary intake and physical activity among obese adults in rural vs urban areas in West Bengal: A cross-sectional study’, </w:t>
      </w:r>
      <w:r w:rsidRPr="00125FAF">
        <w:rPr>
          <w:rStyle w:val="Emphasis"/>
          <w:sz w:val="22"/>
          <w:szCs w:val="22"/>
        </w:rPr>
        <w:t>Research Journal of Pharmacy and Technology</w:t>
      </w:r>
      <w:r w:rsidRPr="00125FAF">
        <w:rPr>
          <w:sz w:val="22"/>
          <w:szCs w:val="22"/>
        </w:rPr>
        <w:t>, 15(9), pp. 3924–3930.</w:t>
      </w:r>
    </w:p>
    <w:p w14:paraId="3CBBD86D"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Chiang, J.Y.L. &amp; Ferrell, J.M. (2020) ‘Bile acid receptors FXR and TGR5 </w:t>
      </w:r>
      <w:proofErr w:type="spellStart"/>
      <w:r w:rsidRPr="00125FAF">
        <w:rPr>
          <w:sz w:val="22"/>
          <w:szCs w:val="22"/>
        </w:rPr>
        <w:t>signaling</w:t>
      </w:r>
      <w:proofErr w:type="spellEnd"/>
      <w:r w:rsidRPr="00125FAF">
        <w:rPr>
          <w:sz w:val="22"/>
          <w:szCs w:val="22"/>
        </w:rPr>
        <w:t xml:space="preserve"> in fatty liver diseases and therapy’, </w:t>
      </w:r>
      <w:r w:rsidRPr="00125FAF">
        <w:rPr>
          <w:rStyle w:val="Emphasis"/>
          <w:sz w:val="22"/>
          <w:szCs w:val="22"/>
        </w:rPr>
        <w:t>American Journal of Physiology-Gastrointestinal and Liver Physiology</w:t>
      </w:r>
      <w:r w:rsidRPr="00125FAF">
        <w:rPr>
          <w:sz w:val="22"/>
          <w:szCs w:val="22"/>
        </w:rPr>
        <w:t>, 318(3), pp. G554–G573.</w:t>
      </w:r>
    </w:p>
    <w:p w14:paraId="0D6AA125"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Li, M., Cai, S.Y. &amp; Boyer, J.L. (2017) ‘Mechanisms of bile acid mediated inflammation in the liver’, </w:t>
      </w:r>
      <w:r w:rsidRPr="00125FAF">
        <w:rPr>
          <w:rStyle w:val="Emphasis"/>
          <w:sz w:val="22"/>
          <w:szCs w:val="22"/>
        </w:rPr>
        <w:t>Molecular Aspects of Medicine</w:t>
      </w:r>
      <w:r w:rsidRPr="00125FAF">
        <w:rPr>
          <w:sz w:val="22"/>
          <w:szCs w:val="22"/>
        </w:rPr>
        <w:t>, 56, pp. 45–53.</w:t>
      </w:r>
    </w:p>
    <w:p w14:paraId="4EB4D039" w14:textId="77777777" w:rsidR="00125FAF" w:rsidRPr="00125FAF" w:rsidRDefault="00125FAF" w:rsidP="00125FAF">
      <w:pPr>
        <w:pStyle w:val="NormalWeb"/>
        <w:numPr>
          <w:ilvl w:val="0"/>
          <w:numId w:val="32"/>
        </w:numPr>
        <w:ind w:left="450"/>
        <w:jc w:val="both"/>
        <w:rPr>
          <w:sz w:val="22"/>
          <w:szCs w:val="22"/>
        </w:rPr>
      </w:pPr>
      <w:proofErr w:type="spellStart"/>
      <w:r w:rsidRPr="00125FAF">
        <w:rPr>
          <w:sz w:val="22"/>
          <w:szCs w:val="22"/>
        </w:rPr>
        <w:t>Campagnoli</w:t>
      </w:r>
      <w:proofErr w:type="spellEnd"/>
      <w:r w:rsidRPr="00125FAF">
        <w:rPr>
          <w:sz w:val="22"/>
          <w:szCs w:val="22"/>
        </w:rPr>
        <w:t xml:space="preserve">, L.I.M., Varesi, A., Barbieri, A., Marchesi, N. &amp; Pascale, A. (2023) ‘Targeting the Gut-Eye Axis: An Emerging Strategy to Face Ocular Diseases’, </w:t>
      </w:r>
      <w:r w:rsidRPr="00125FAF">
        <w:rPr>
          <w:rStyle w:val="Emphasis"/>
          <w:sz w:val="22"/>
          <w:szCs w:val="22"/>
        </w:rPr>
        <w:t>International Journal of Molecular Sciences</w:t>
      </w:r>
      <w:r w:rsidRPr="00125FAF">
        <w:rPr>
          <w:sz w:val="22"/>
          <w:szCs w:val="22"/>
        </w:rPr>
        <w:t>, 24(17), p. 13338.</w:t>
      </w:r>
    </w:p>
    <w:p w14:paraId="09A4F500"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Shin, Y., Han, S., Kwon, J., Ju, S., Choi, T.G., Kang, I. &amp; Kim, S.S. (2023) ‘Roles of short-chain fatty acids in inflammatory bowel disease’, </w:t>
      </w:r>
      <w:r w:rsidRPr="00125FAF">
        <w:rPr>
          <w:rStyle w:val="Emphasis"/>
          <w:sz w:val="22"/>
          <w:szCs w:val="22"/>
        </w:rPr>
        <w:t>Nutrients</w:t>
      </w:r>
      <w:r w:rsidRPr="00125FAF">
        <w:rPr>
          <w:sz w:val="22"/>
          <w:szCs w:val="22"/>
        </w:rPr>
        <w:t>, 15(20), p. 4466.</w:t>
      </w:r>
    </w:p>
    <w:p w14:paraId="1857AFC2"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Sivaprakasam, S., Prasad, P.D. &amp; Singh, N. (2016) ‘Benefits of short-chain fatty acids and their receptors in inflammation and carcinogenesis’, </w:t>
      </w:r>
      <w:r w:rsidRPr="00125FAF">
        <w:rPr>
          <w:rStyle w:val="Emphasis"/>
          <w:sz w:val="22"/>
          <w:szCs w:val="22"/>
        </w:rPr>
        <w:t>Pharmacology &amp; Therapeutics</w:t>
      </w:r>
      <w:r w:rsidRPr="00125FAF">
        <w:rPr>
          <w:sz w:val="22"/>
          <w:szCs w:val="22"/>
        </w:rPr>
        <w:t>, 164, pp. 144–151.</w:t>
      </w:r>
    </w:p>
    <w:p w14:paraId="05CFF134" w14:textId="77777777" w:rsidR="00125FAF" w:rsidRPr="00125FAF" w:rsidRDefault="00125FAF" w:rsidP="00125FAF">
      <w:pPr>
        <w:pStyle w:val="NormalWeb"/>
        <w:numPr>
          <w:ilvl w:val="0"/>
          <w:numId w:val="32"/>
        </w:numPr>
        <w:ind w:left="450"/>
        <w:jc w:val="both"/>
        <w:rPr>
          <w:sz w:val="22"/>
          <w:szCs w:val="22"/>
        </w:rPr>
      </w:pPr>
      <w:r w:rsidRPr="00125FAF">
        <w:rPr>
          <w:sz w:val="22"/>
          <w:szCs w:val="22"/>
        </w:rPr>
        <w:lastRenderedPageBreak/>
        <w:t xml:space="preserve">Pisetsky, D.S. (2023) ‘Pathogenesis of autoimmune disease’, </w:t>
      </w:r>
      <w:r w:rsidRPr="00125FAF">
        <w:rPr>
          <w:rStyle w:val="Emphasis"/>
          <w:sz w:val="22"/>
          <w:szCs w:val="22"/>
        </w:rPr>
        <w:t>Nature Reviews Nephrology</w:t>
      </w:r>
      <w:r w:rsidRPr="00125FAF">
        <w:rPr>
          <w:sz w:val="22"/>
          <w:szCs w:val="22"/>
        </w:rPr>
        <w:t>, 19(8), pp. 509–524.</w:t>
      </w:r>
    </w:p>
    <w:p w14:paraId="1565103D"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Wang, C., Bian, F., Li, Z., Zhang, Y., Li, X., Ma, J., Li, Y. &amp; Pflugfelder, S.C. (2019) ‘Dysbiosis modulates ocular surface inflammatory response to lipopolysaccharide’, </w:t>
      </w:r>
      <w:r w:rsidRPr="00125FAF">
        <w:rPr>
          <w:rStyle w:val="Emphasis"/>
          <w:sz w:val="22"/>
          <w:szCs w:val="22"/>
        </w:rPr>
        <w:t>Investigative Ophthalmology &amp; Visual Science</w:t>
      </w:r>
      <w:r w:rsidRPr="00125FAF">
        <w:rPr>
          <w:sz w:val="22"/>
          <w:szCs w:val="22"/>
        </w:rPr>
        <w:t>, 60(13), pp. 4224–4233.</w:t>
      </w:r>
    </w:p>
    <w:p w14:paraId="612CBE6A"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Fogelson, K.A., </w:t>
      </w:r>
      <w:proofErr w:type="spellStart"/>
      <w:r w:rsidRPr="00125FAF">
        <w:rPr>
          <w:sz w:val="22"/>
          <w:szCs w:val="22"/>
        </w:rPr>
        <w:t>Dorrestein</w:t>
      </w:r>
      <w:proofErr w:type="spellEnd"/>
      <w:r w:rsidRPr="00125FAF">
        <w:rPr>
          <w:sz w:val="22"/>
          <w:szCs w:val="22"/>
        </w:rPr>
        <w:t xml:space="preserve">, P.C. &amp; </w:t>
      </w:r>
      <w:proofErr w:type="spellStart"/>
      <w:r w:rsidRPr="00125FAF">
        <w:rPr>
          <w:sz w:val="22"/>
          <w:szCs w:val="22"/>
        </w:rPr>
        <w:t>Zarrinpar</w:t>
      </w:r>
      <w:proofErr w:type="spellEnd"/>
      <w:r w:rsidRPr="00125FAF">
        <w:rPr>
          <w:sz w:val="22"/>
          <w:szCs w:val="22"/>
        </w:rPr>
        <w:t xml:space="preserve">, A. (2023) ‘The Gut Microbial Bile Acid Modulation and Its Relevance to Digestive Health and Diseases’, </w:t>
      </w:r>
      <w:r w:rsidRPr="00125FAF">
        <w:rPr>
          <w:rStyle w:val="Emphasis"/>
          <w:sz w:val="22"/>
          <w:szCs w:val="22"/>
        </w:rPr>
        <w:t>Gastroenterology</w:t>
      </w:r>
      <w:r w:rsidRPr="00125FAF">
        <w:rPr>
          <w:sz w:val="22"/>
          <w:szCs w:val="22"/>
        </w:rPr>
        <w:t>, 164(7), pp. 1069–1085.</w:t>
      </w:r>
    </w:p>
    <w:p w14:paraId="0C91C293"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Adhikary, K., Mohanty, S., Bandyopadhyay, B., Maiti, R., Bhattacharya, K. &amp; Karak, P. (2024) ‘β-Amyloid peptide modulates peripheral immune responses and neuroinflammation in rats’, </w:t>
      </w:r>
      <w:r w:rsidRPr="00125FAF">
        <w:rPr>
          <w:rStyle w:val="Emphasis"/>
          <w:sz w:val="22"/>
          <w:szCs w:val="22"/>
        </w:rPr>
        <w:t>Biomolecular Concepts</w:t>
      </w:r>
      <w:r w:rsidRPr="00125FAF">
        <w:rPr>
          <w:sz w:val="22"/>
          <w:szCs w:val="22"/>
        </w:rPr>
        <w:t xml:space="preserve">, 15(1). </w:t>
      </w:r>
      <w:proofErr w:type="spellStart"/>
      <w:r w:rsidRPr="00125FAF">
        <w:rPr>
          <w:sz w:val="22"/>
          <w:szCs w:val="22"/>
        </w:rPr>
        <w:t>doi</w:t>
      </w:r>
      <w:proofErr w:type="spellEnd"/>
      <w:r w:rsidRPr="00125FAF">
        <w:rPr>
          <w:sz w:val="22"/>
          <w:szCs w:val="22"/>
        </w:rPr>
        <w:t>: 10.1515/bmc-2022-0042.</w:t>
      </w:r>
    </w:p>
    <w:p w14:paraId="4EE2419E" w14:textId="77777777" w:rsidR="00125FAF" w:rsidRPr="00125FAF" w:rsidRDefault="00125FAF" w:rsidP="00125FAF">
      <w:pPr>
        <w:pStyle w:val="NormalWeb"/>
        <w:numPr>
          <w:ilvl w:val="0"/>
          <w:numId w:val="32"/>
        </w:numPr>
        <w:ind w:left="450"/>
        <w:jc w:val="both"/>
        <w:rPr>
          <w:sz w:val="22"/>
          <w:szCs w:val="22"/>
        </w:rPr>
      </w:pPr>
      <w:proofErr w:type="spellStart"/>
      <w:r w:rsidRPr="00125FAF">
        <w:rPr>
          <w:sz w:val="22"/>
          <w:szCs w:val="22"/>
        </w:rPr>
        <w:t>Iatcu</w:t>
      </w:r>
      <w:proofErr w:type="spellEnd"/>
      <w:r w:rsidRPr="00125FAF">
        <w:rPr>
          <w:sz w:val="22"/>
          <w:szCs w:val="22"/>
        </w:rPr>
        <w:t xml:space="preserve">, C.O., Steen, A. &amp; </w:t>
      </w:r>
      <w:proofErr w:type="spellStart"/>
      <w:r w:rsidRPr="00125FAF">
        <w:rPr>
          <w:sz w:val="22"/>
          <w:szCs w:val="22"/>
        </w:rPr>
        <w:t>Covasa</w:t>
      </w:r>
      <w:proofErr w:type="spellEnd"/>
      <w:r w:rsidRPr="00125FAF">
        <w:rPr>
          <w:sz w:val="22"/>
          <w:szCs w:val="22"/>
        </w:rPr>
        <w:t xml:space="preserve">, M. (2021) ‘Gut microbiota and complications of type-2 diabetes’, </w:t>
      </w:r>
      <w:r w:rsidRPr="00125FAF">
        <w:rPr>
          <w:rStyle w:val="Emphasis"/>
          <w:sz w:val="22"/>
          <w:szCs w:val="22"/>
        </w:rPr>
        <w:t>Nutrients</w:t>
      </w:r>
      <w:r w:rsidRPr="00125FAF">
        <w:rPr>
          <w:sz w:val="22"/>
          <w:szCs w:val="22"/>
        </w:rPr>
        <w:t>, 14(1), p. 166.</w:t>
      </w:r>
    </w:p>
    <w:p w14:paraId="58FC176C"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Peter, V.G., D'Souza, S., D'Souza, S., et al. (2023) ‘Investigating the ocular surface microbiome: What can it tell us?’, </w:t>
      </w:r>
      <w:r w:rsidRPr="00125FAF">
        <w:rPr>
          <w:rStyle w:val="Emphasis"/>
          <w:sz w:val="22"/>
          <w:szCs w:val="22"/>
        </w:rPr>
        <w:t>Clinical Ophthalmology</w:t>
      </w:r>
      <w:r w:rsidRPr="00125FAF">
        <w:rPr>
          <w:sz w:val="22"/>
          <w:szCs w:val="22"/>
        </w:rPr>
        <w:t>, 17, pp. 259–271.</w:t>
      </w:r>
    </w:p>
    <w:p w14:paraId="5A1B7FF2"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Chowdhary, A., Van Gelder, R.N. &amp; Sundararajan, M. (2023) ‘Methodologic Considerations for Studying the Ocular Surface Microbiome’, </w:t>
      </w:r>
      <w:r w:rsidRPr="00125FAF">
        <w:rPr>
          <w:rStyle w:val="Emphasis"/>
          <w:sz w:val="22"/>
          <w:szCs w:val="22"/>
        </w:rPr>
        <w:t>Ophthalmology Science</w:t>
      </w:r>
      <w:r w:rsidRPr="00125FAF">
        <w:rPr>
          <w:sz w:val="22"/>
          <w:szCs w:val="22"/>
        </w:rPr>
        <w:t>, 3(4), p. 100408.</w:t>
      </w:r>
    </w:p>
    <w:p w14:paraId="6C084E76"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Petrillo, F., Pignatelli, F., Cammalleri, V., et al. (2020) ‘Current evidence on the ocular surface microbiota and related diseases’, </w:t>
      </w:r>
      <w:r w:rsidRPr="00125FAF">
        <w:rPr>
          <w:rStyle w:val="Emphasis"/>
          <w:sz w:val="22"/>
          <w:szCs w:val="22"/>
        </w:rPr>
        <w:t>Microorganisms</w:t>
      </w:r>
      <w:r w:rsidRPr="00125FAF">
        <w:rPr>
          <w:sz w:val="22"/>
          <w:szCs w:val="22"/>
        </w:rPr>
        <w:t>, 8(7), p. 1033.</w:t>
      </w:r>
    </w:p>
    <w:p w14:paraId="15B7061F"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Xue, W., Li, J.J., Zou, Y., Zou, B. &amp; Wei, L. (2021) ‘Microbiota and ocular diseases’, </w:t>
      </w:r>
      <w:r w:rsidRPr="00125FAF">
        <w:rPr>
          <w:rStyle w:val="Emphasis"/>
          <w:sz w:val="22"/>
          <w:szCs w:val="22"/>
        </w:rPr>
        <w:t>Frontiers in Cellular and Infection Microbiology</w:t>
      </w:r>
      <w:r w:rsidRPr="00125FAF">
        <w:rPr>
          <w:sz w:val="22"/>
          <w:szCs w:val="22"/>
        </w:rPr>
        <w:t>, 11, p. 759333.</w:t>
      </w:r>
    </w:p>
    <w:p w14:paraId="2972937A"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Hom, M.M., Nguyen, A.L. &amp; </w:t>
      </w:r>
      <w:proofErr w:type="spellStart"/>
      <w:r w:rsidRPr="00125FAF">
        <w:rPr>
          <w:sz w:val="22"/>
          <w:szCs w:val="22"/>
        </w:rPr>
        <w:t>Bielory</w:t>
      </w:r>
      <w:proofErr w:type="spellEnd"/>
      <w:r w:rsidRPr="00125FAF">
        <w:rPr>
          <w:sz w:val="22"/>
          <w:szCs w:val="22"/>
        </w:rPr>
        <w:t xml:space="preserve">, L. (2012) ‘Allergic conjunctivitis and dry eye syndrome’, </w:t>
      </w:r>
      <w:r w:rsidRPr="00125FAF">
        <w:rPr>
          <w:rStyle w:val="Emphasis"/>
          <w:sz w:val="22"/>
          <w:szCs w:val="22"/>
        </w:rPr>
        <w:t>Annals of Allergy, Asthma &amp; Immunology</w:t>
      </w:r>
      <w:r w:rsidRPr="00125FAF">
        <w:rPr>
          <w:sz w:val="22"/>
          <w:szCs w:val="22"/>
        </w:rPr>
        <w:t>, 108(3), pp. 163–166.</w:t>
      </w:r>
    </w:p>
    <w:p w14:paraId="2B907C59"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Li, J.J., Yi, S. &amp; Wei, L. (2020) ‘Ocular microbiota and intraocular inflammation’, </w:t>
      </w:r>
      <w:r w:rsidRPr="00125FAF">
        <w:rPr>
          <w:rStyle w:val="Emphasis"/>
          <w:sz w:val="22"/>
          <w:szCs w:val="22"/>
        </w:rPr>
        <w:t>Frontiers in Immunology</w:t>
      </w:r>
      <w:r w:rsidRPr="00125FAF">
        <w:rPr>
          <w:sz w:val="22"/>
          <w:szCs w:val="22"/>
        </w:rPr>
        <w:t>, 11, p. 609765.</w:t>
      </w:r>
    </w:p>
    <w:p w14:paraId="60FF31AE"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Sheppard, J., Shen Lee, B. &amp; Periman, L.M. (2023) ‘Dry eye disease: Identification and therapeutic strategies for primary care clinicians and clinical specialists’, </w:t>
      </w:r>
      <w:r w:rsidRPr="00125FAF">
        <w:rPr>
          <w:rStyle w:val="Emphasis"/>
          <w:sz w:val="22"/>
          <w:szCs w:val="22"/>
        </w:rPr>
        <w:t>Annals of Medicine</w:t>
      </w:r>
      <w:r w:rsidRPr="00125FAF">
        <w:rPr>
          <w:sz w:val="22"/>
          <w:szCs w:val="22"/>
        </w:rPr>
        <w:t>, 55(1), pp. 241–252.</w:t>
      </w:r>
    </w:p>
    <w:p w14:paraId="3921C7C3"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Gomes, J.A.P., </w:t>
      </w:r>
      <w:proofErr w:type="spellStart"/>
      <w:r w:rsidRPr="00125FAF">
        <w:rPr>
          <w:sz w:val="22"/>
          <w:szCs w:val="22"/>
        </w:rPr>
        <w:t>Frizon</w:t>
      </w:r>
      <w:proofErr w:type="spellEnd"/>
      <w:r w:rsidRPr="00125FAF">
        <w:rPr>
          <w:sz w:val="22"/>
          <w:szCs w:val="22"/>
        </w:rPr>
        <w:t xml:space="preserve">, L. &amp; </w:t>
      </w:r>
      <w:proofErr w:type="spellStart"/>
      <w:r w:rsidRPr="00125FAF">
        <w:rPr>
          <w:sz w:val="22"/>
          <w:szCs w:val="22"/>
        </w:rPr>
        <w:t>Demeda</w:t>
      </w:r>
      <w:proofErr w:type="spellEnd"/>
      <w:r w:rsidRPr="00125FAF">
        <w:rPr>
          <w:sz w:val="22"/>
          <w:szCs w:val="22"/>
        </w:rPr>
        <w:t xml:space="preserve">, V.F. (2020) ‘Ocular Surface Microbiome in Health and Disease’, </w:t>
      </w:r>
      <w:r w:rsidRPr="00125FAF">
        <w:rPr>
          <w:rStyle w:val="Emphasis"/>
          <w:sz w:val="22"/>
          <w:szCs w:val="22"/>
        </w:rPr>
        <w:t>Asia-Pacific Journal of Ophthalmology</w:t>
      </w:r>
      <w:r w:rsidRPr="00125FAF">
        <w:rPr>
          <w:sz w:val="22"/>
          <w:szCs w:val="22"/>
        </w:rPr>
        <w:t>, 9(6), pp. 505–511.</w:t>
      </w:r>
    </w:p>
    <w:p w14:paraId="5FF95EBA"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Macedo-Lozano, S.D., Garcia-Aguilar, M.A., Salinas-Sedo, G., Cardoza-Jiménez, K., Yang, W. &amp; Zheng, M.H. (2025) ‘Association between </w:t>
      </w:r>
      <w:r w:rsidRPr="00125FAF">
        <w:rPr>
          <w:sz w:val="22"/>
          <w:szCs w:val="22"/>
        </w:rPr>
        <w:t xml:space="preserve">hypothyroidism and metabolic dysfunction-associated steatohepatitis in adults with obesity without diabetes’, </w:t>
      </w:r>
      <w:r w:rsidRPr="00125FAF">
        <w:rPr>
          <w:rStyle w:val="Emphasis"/>
          <w:sz w:val="22"/>
          <w:szCs w:val="22"/>
        </w:rPr>
        <w:t>Obesity Medicine</w:t>
      </w:r>
      <w:r w:rsidRPr="00125FAF">
        <w:rPr>
          <w:sz w:val="22"/>
          <w:szCs w:val="22"/>
        </w:rPr>
        <w:t>, 55, p. 100604.</w:t>
      </w:r>
    </w:p>
    <w:p w14:paraId="7CB3EC12"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Cap, D.M., Dong, K.T., Nguyen, D.T.H., Nguyen, H.T., Tang, K.X. &amp; Cao, A.H. (2025) ‘Assessing the relationship between demographic characteristics, lifestyle factors, and obesity metrics among adults in Haiphong, Vietnam’, </w:t>
      </w:r>
      <w:r w:rsidRPr="00125FAF">
        <w:rPr>
          <w:rStyle w:val="Emphasis"/>
          <w:sz w:val="22"/>
          <w:szCs w:val="22"/>
        </w:rPr>
        <w:t>Obesity Medicine</w:t>
      </w:r>
      <w:r w:rsidRPr="00125FAF">
        <w:rPr>
          <w:sz w:val="22"/>
          <w:szCs w:val="22"/>
        </w:rPr>
        <w:t>, 55, p. 100600.</w:t>
      </w:r>
    </w:p>
    <w:p w14:paraId="1D745AF6"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Oladipupo, S.O., </w:t>
      </w:r>
      <w:proofErr w:type="spellStart"/>
      <w:r w:rsidRPr="00125FAF">
        <w:rPr>
          <w:sz w:val="22"/>
          <w:szCs w:val="22"/>
        </w:rPr>
        <w:t>Ezenabor</w:t>
      </w:r>
      <w:proofErr w:type="spellEnd"/>
      <w:r w:rsidRPr="00125FAF">
        <w:rPr>
          <w:sz w:val="22"/>
          <w:szCs w:val="22"/>
        </w:rPr>
        <w:t xml:space="preserve">, E.H., Ojo, A.B., </w:t>
      </w:r>
      <w:proofErr w:type="spellStart"/>
      <w:r w:rsidRPr="00125FAF">
        <w:rPr>
          <w:sz w:val="22"/>
          <w:szCs w:val="22"/>
        </w:rPr>
        <w:t>Ogunlakin</w:t>
      </w:r>
      <w:proofErr w:type="spellEnd"/>
      <w:r w:rsidRPr="00125FAF">
        <w:rPr>
          <w:sz w:val="22"/>
          <w:szCs w:val="22"/>
        </w:rPr>
        <w:t xml:space="preserve">, A.D. &amp; Ojo, O.A. (2025) ‘Interplay of the pathophysiological mechanisms of non-alcoholic fatty liver disease, diabetes mellitus, and inflammation: A growing threat to public health’, </w:t>
      </w:r>
      <w:r w:rsidRPr="00125FAF">
        <w:rPr>
          <w:rStyle w:val="Emphasis"/>
          <w:sz w:val="22"/>
          <w:szCs w:val="22"/>
        </w:rPr>
        <w:t>Obesity Medicine</w:t>
      </w:r>
      <w:r w:rsidRPr="00125FAF">
        <w:rPr>
          <w:sz w:val="22"/>
          <w:szCs w:val="22"/>
        </w:rPr>
        <w:t>, 55, p. 100613.</w:t>
      </w:r>
    </w:p>
    <w:p w14:paraId="13D262EA" w14:textId="77777777" w:rsidR="00125FAF" w:rsidRPr="00125FAF" w:rsidRDefault="00125FAF" w:rsidP="00125FAF">
      <w:pPr>
        <w:pStyle w:val="NormalWeb"/>
        <w:numPr>
          <w:ilvl w:val="0"/>
          <w:numId w:val="32"/>
        </w:numPr>
        <w:ind w:left="450"/>
        <w:jc w:val="both"/>
        <w:rPr>
          <w:sz w:val="22"/>
          <w:szCs w:val="22"/>
        </w:rPr>
      </w:pPr>
      <w:proofErr w:type="spellStart"/>
      <w:r w:rsidRPr="00125FAF">
        <w:rPr>
          <w:sz w:val="22"/>
          <w:szCs w:val="22"/>
        </w:rPr>
        <w:t>Panjawatanan</w:t>
      </w:r>
      <w:proofErr w:type="spellEnd"/>
      <w:r w:rsidRPr="00125FAF">
        <w:rPr>
          <w:sz w:val="22"/>
          <w:szCs w:val="22"/>
        </w:rPr>
        <w:t xml:space="preserve">, P. &amp; Comi, R.J. (2025) ‘GLP-1 agonists in Type 1 diabetes – Indications and use’, </w:t>
      </w:r>
      <w:r w:rsidRPr="00125FAF">
        <w:rPr>
          <w:rStyle w:val="Emphasis"/>
          <w:sz w:val="22"/>
          <w:szCs w:val="22"/>
        </w:rPr>
        <w:t>Obesity Medicine</w:t>
      </w:r>
      <w:r w:rsidRPr="00125FAF">
        <w:rPr>
          <w:sz w:val="22"/>
          <w:szCs w:val="22"/>
        </w:rPr>
        <w:t>, 54, p. 100591.</w:t>
      </w:r>
    </w:p>
    <w:p w14:paraId="092972CB"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Dreher, M.L. (2018) ‘Whole Fruits and Fruit Fiber Emerging Health Effects’, </w:t>
      </w:r>
      <w:r w:rsidRPr="00125FAF">
        <w:rPr>
          <w:rStyle w:val="Emphasis"/>
          <w:sz w:val="22"/>
          <w:szCs w:val="22"/>
        </w:rPr>
        <w:t>Nutrients</w:t>
      </w:r>
      <w:r w:rsidRPr="00125FAF">
        <w:rPr>
          <w:sz w:val="22"/>
          <w:szCs w:val="22"/>
        </w:rPr>
        <w:t>, 10(12), p. 1833.</w:t>
      </w:r>
    </w:p>
    <w:p w14:paraId="162589AD"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Djuric, Z. (2023) ‘Dietary approaches for normalizing dysbiosis induced by high-fat, obesogenic diets’, </w:t>
      </w:r>
      <w:r w:rsidRPr="00125FAF">
        <w:rPr>
          <w:rStyle w:val="Emphasis"/>
          <w:sz w:val="22"/>
          <w:szCs w:val="22"/>
        </w:rPr>
        <w:t>Current Opinion in Clinical Nutrition and Metabolic Care</w:t>
      </w:r>
      <w:r w:rsidRPr="00125FAF">
        <w:rPr>
          <w:sz w:val="22"/>
          <w:szCs w:val="22"/>
        </w:rPr>
        <w:t>, 26(3), pp. 293–301.</w:t>
      </w:r>
    </w:p>
    <w:p w14:paraId="391F609B" w14:textId="77777777" w:rsidR="00125FAF" w:rsidRPr="00125FAF" w:rsidRDefault="00125FAF" w:rsidP="00125FAF">
      <w:pPr>
        <w:pStyle w:val="NormalWeb"/>
        <w:numPr>
          <w:ilvl w:val="0"/>
          <w:numId w:val="32"/>
        </w:numPr>
        <w:ind w:left="450"/>
        <w:jc w:val="both"/>
        <w:rPr>
          <w:sz w:val="22"/>
          <w:szCs w:val="22"/>
        </w:rPr>
      </w:pPr>
      <w:proofErr w:type="spellStart"/>
      <w:r w:rsidRPr="00125FAF">
        <w:rPr>
          <w:sz w:val="22"/>
          <w:szCs w:val="22"/>
        </w:rPr>
        <w:t>Leeuwendaal</w:t>
      </w:r>
      <w:proofErr w:type="spellEnd"/>
      <w:r w:rsidRPr="00125FAF">
        <w:rPr>
          <w:sz w:val="22"/>
          <w:szCs w:val="22"/>
        </w:rPr>
        <w:t xml:space="preserve">, N.K., Stanton, C., O'Toole, P.W. &amp; Beresford, T.P. (2022) ‘Fermented foods, health and the gut microbiome’, </w:t>
      </w:r>
      <w:r w:rsidRPr="00125FAF">
        <w:rPr>
          <w:rStyle w:val="Emphasis"/>
          <w:sz w:val="22"/>
          <w:szCs w:val="22"/>
        </w:rPr>
        <w:t>Nutrients</w:t>
      </w:r>
      <w:r w:rsidRPr="00125FAF">
        <w:rPr>
          <w:sz w:val="22"/>
          <w:szCs w:val="22"/>
        </w:rPr>
        <w:t>, 14(7), p. 1527.</w:t>
      </w:r>
    </w:p>
    <w:p w14:paraId="214E66F3"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Jawhara, S. (2024) ‘How do polyphenol-rich foods prevent oxidative stress and maintain gut health?’, </w:t>
      </w:r>
      <w:r w:rsidRPr="00125FAF">
        <w:rPr>
          <w:rStyle w:val="Emphasis"/>
          <w:sz w:val="22"/>
          <w:szCs w:val="22"/>
        </w:rPr>
        <w:t>Microorganisms</w:t>
      </w:r>
      <w:r w:rsidRPr="00125FAF">
        <w:rPr>
          <w:sz w:val="22"/>
          <w:szCs w:val="22"/>
        </w:rPr>
        <w:t>, 12(8), p. 1570.</w:t>
      </w:r>
    </w:p>
    <w:p w14:paraId="57D03F3C" w14:textId="77777777" w:rsidR="00125FAF" w:rsidRPr="00125FAF" w:rsidRDefault="00125FAF" w:rsidP="00125FAF">
      <w:pPr>
        <w:pStyle w:val="NormalWeb"/>
        <w:numPr>
          <w:ilvl w:val="0"/>
          <w:numId w:val="32"/>
        </w:numPr>
        <w:ind w:left="450"/>
        <w:jc w:val="both"/>
        <w:rPr>
          <w:sz w:val="22"/>
          <w:szCs w:val="22"/>
        </w:rPr>
      </w:pPr>
      <w:r w:rsidRPr="00125FAF">
        <w:rPr>
          <w:sz w:val="22"/>
          <w:szCs w:val="22"/>
          <w:lang w:val="de-DE"/>
        </w:rPr>
        <w:t xml:space="preserve">Fajstova, A., Horak, J., Lichnovska, A., et al. </w:t>
      </w:r>
      <w:r w:rsidRPr="00125FAF">
        <w:rPr>
          <w:sz w:val="22"/>
          <w:szCs w:val="22"/>
        </w:rPr>
        <w:t xml:space="preserve">(2020) ‘Diet Rich in Simple Sugars Promotes Pro-Inflammatory Response via Gut Microbiota Alteration and TLR4 </w:t>
      </w:r>
      <w:proofErr w:type="spellStart"/>
      <w:r w:rsidRPr="00125FAF">
        <w:rPr>
          <w:sz w:val="22"/>
          <w:szCs w:val="22"/>
        </w:rPr>
        <w:t>Signaling</w:t>
      </w:r>
      <w:proofErr w:type="spellEnd"/>
      <w:r w:rsidRPr="00125FAF">
        <w:rPr>
          <w:sz w:val="22"/>
          <w:szCs w:val="22"/>
        </w:rPr>
        <w:t xml:space="preserve">’, </w:t>
      </w:r>
      <w:r w:rsidRPr="00125FAF">
        <w:rPr>
          <w:rStyle w:val="Emphasis"/>
          <w:sz w:val="22"/>
          <w:szCs w:val="22"/>
        </w:rPr>
        <w:t>Cells</w:t>
      </w:r>
      <w:r w:rsidRPr="00125FAF">
        <w:rPr>
          <w:sz w:val="22"/>
          <w:szCs w:val="22"/>
        </w:rPr>
        <w:t>, 9(12), p. 2701.</w:t>
      </w:r>
    </w:p>
    <w:p w14:paraId="6B16BB28"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Vijay, A., Astbury, S., Le Roy, C., Spector, T.D. &amp; Valdes, A.M. (2021) ‘The prebiotic effects of omega-3 fatty acid supplementation: A six-week randomised intervention trial’, </w:t>
      </w:r>
      <w:r w:rsidRPr="00125FAF">
        <w:rPr>
          <w:rStyle w:val="Emphasis"/>
          <w:sz w:val="22"/>
          <w:szCs w:val="22"/>
        </w:rPr>
        <w:t>Gut Microbes</w:t>
      </w:r>
      <w:r w:rsidRPr="00125FAF">
        <w:rPr>
          <w:sz w:val="22"/>
          <w:szCs w:val="22"/>
        </w:rPr>
        <w:t>, 13(1), pp. 1–11.</w:t>
      </w:r>
    </w:p>
    <w:p w14:paraId="6216EFFB"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Kang, G.G., Trevaskis, N.L., Murphy, A.J. &amp; Febbraio, M.A. (2022) ‘Diet-induced gut dysbiosis and inflammation: Key drivers of obesity-driven NASH’, </w:t>
      </w:r>
      <w:proofErr w:type="spellStart"/>
      <w:r w:rsidRPr="00125FAF">
        <w:rPr>
          <w:rStyle w:val="Emphasis"/>
          <w:sz w:val="22"/>
          <w:szCs w:val="22"/>
        </w:rPr>
        <w:t>iScience</w:t>
      </w:r>
      <w:proofErr w:type="spellEnd"/>
      <w:r w:rsidRPr="00125FAF">
        <w:rPr>
          <w:sz w:val="22"/>
          <w:szCs w:val="22"/>
        </w:rPr>
        <w:t>, 26(1), p. 105905.</w:t>
      </w:r>
    </w:p>
    <w:p w14:paraId="2501532A"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Aziz, T., Hussain, N., Hameed, Z. &amp; Lin, L. (2024) ‘Elucidating the role of diet in maintaining gut health to reduce the risk of obesity, cardiovascular and other age-related inflammatory diseases: recent challenges and future recommendations’, </w:t>
      </w:r>
      <w:r w:rsidRPr="00125FAF">
        <w:rPr>
          <w:rStyle w:val="Emphasis"/>
          <w:sz w:val="22"/>
          <w:szCs w:val="22"/>
        </w:rPr>
        <w:t>Gut Microbes</w:t>
      </w:r>
      <w:r w:rsidRPr="00125FAF">
        <w:rPr>
          <w:sz w:val="22"/>
          <w:szCs w:val="22"/>
        </w:rPr>
        <w:t>, 16(1), p. 2297864.</w:t>
      </w:r>
    </w:p>
    <w:p w14:paraId="3EE04A13" w14:textId="77777777" w:rsidR="00125FAF" w:rsidRPr="00125FAF" w:rsidRDefault="00125FAF" w:rsidP="00125FAF">
      <w:pPr>
        <w:pStyle w:val="NormalWeb"/>
        <w:numPr>
          <w:ilvl w:val="0"/>
          <w:numId w:val="32"/>
        </w:numPr>
        <w:ind w:left="450"/>
        <w:jc w:val="both"/>
        <w:rPr>
          <w:sz w:val="22"/>
          <w:szCs w:val="22"/>
        </w:rPr>
      </w:pPr>
      <w:proofErr w:type="spellStart"/>
      <w:r w:rsidRPr="00125FAF">
        <w:rPr>
          <w:sz w:val="22"/>
          <w:szCs w:val="22"/>
        </w:rPr>
        <w:t>Rinninella</w:t>
      </w:r>
      <w:proofErr w:type="spellEnd"/>
      <w:r w:rsidRPr="00125FAF">
        <w:rPr>
          <w:sz w:val="22"/>
          <w:szCs w:val="22"/>
        </w:rPr>
        <w:t xml:space="preserve">, E., </w:t>
      </w:r>
      <w:proofErr w:type="spellStart"/>
      <w:r w:rsidRPr="00125FAF">
        <w:rPr>
          <w:sz w:val="22"/>
          <w:szCs w:val="22"/>
        </w:rPr>
        <w:t>Cintoni</w:t>
      </w:r>
      <w:proofErr w:type="spellEnd"/>
      <w:r w:rsidRPr="00125FAF">
        <w:rPr>
          <w:sz w:val="22"/>
          <w:szCs w:val="22"/>
        </w:rPr>
        <w:t xml:space="preserve">, M., Raoul, P., Gasbarrini, A. &amp; Mele, M.C. (2023) ‘The role of diet in shaping human gut microbiota’, </w:t>
      </w:r>
      <w:r w:rsidRPr="00125FAF">
        <w:rPr>
          <w:rStyle w:val="Emphasis"/>
          <w:sz w:val="22"/>
          <w:szCs w:val="22"/>
        </w:rPr>
        <w:t xml:space="preserve">Best Practice &amp; </w:t>
      </w:r>
      <w:r w:rsidRPr="00125FAF">
        <w:rPr>
          <w:rStyle w:val="Emphasis"/>
          <w:sz w:val="22"/>
          <w:szCs w:val="22"/>
        </w:rPr>
        <w:lastRenderedPageBreak/>
        <w:t>Research Clinical Gastroenterology</w:t>
      </w:r>
      <w:r w:rsidRPr="00125FAF">
        <w:rPr>
          <w:sz w:val="22"/>
          <w:szCs w:val="22"/>
        </w:rPr>
        <w:t>, 62–63, p. 101828.</w:t>
      </w:r>
    </w:p>
    <w:p w14:paraId="3D86903F"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Zhang, P. (2022) ‘Influence of foods and nutrition on the gut microbiome and implications for intestinal health’, </w:t>
      </w:r>
      <w:r w:rsidRPr="00125FAF">
        <w:rPr>
          <w:rStyle w:val="Emphasis"/>
          <w:sz w:val="22"/>
          <w:szCs w:val="22"/>
        </w:rPr>
        <w:t>International Journal of Molecular Sciences</w:t>
      </w:r>
      <w:r w:rsidRPr="00125FAF">
        <w:rPr>
          <w:sz w:val="22"/>
          <w:szCs w:val="22"/>
        </w:rPr>
        <w:t>, 23(17), p. 9588.</w:t>
      </w:r>
    </w:p>
    <w:p w14:paraId="6E589674"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Noriega, B.S., Sanchez-Gonzalez, M.A., Salyakina, D. &amp; Coffman, J. (2016) ‘Understanding the impact of omega-3 rich diet on the gut microbiota’, </w:t>
      </w:r>
      <w:r w:rsidRPr="00125FAF">
        <w:rPr>
          <w:rStyle w:val="Emphasis"/>
          <w:sz w:val="22"/>
          <w:szCs w:val="22"/>
        </w:rPr>
        <w:t>Case Reports in Medicine</w:t>
      </w:r>
      <w:r w:rsidRPr="00125FAF">
        <w:rPr>
          <w:sz w:val="22"/>
          <w:szCs w:val="22"/>
        </w:rPr>
        <w:t>, 2016, p. 3089303.</w:t>
      </w:r>
    </w:p>
    <w:p w14:paraId="5790CA9D" w14:textId="77777777" w:rsidR="00125FAF" w:rsidRPr="00125FAF" w:rsidRDefault="00125FAF" w:rsidP="00125FAF">
      <w:pPr>
        <w:pStyle w:val="NormalWeb"/>
        <w:numPr>
          <w:ilvl w:val="0"/>
          <w:numId w:val="32"/>
        </w:numPr>
        <w:ind w:left="450"/>
        <w:jc w:val="both"/>
        <w:rPr>
          <w:sz w:val="22"/>
          <w:szCs w:val="22"/>
        </w:rPr>
      </w:pPr>
      <w:r w:rsidRPr="00125FAF">
        <w:rPr>
          <w:sz w:val="22"/>
          <w:szCs w:val="22"/>
          <w:lang w:val="de-DE"/>
        </w:rPr>
        <w:t xml:space="preserve">Channer, B., Matt, S.M., Nick, J., Zohar, Y., Ben-Haim, M., Magen, E., et al. </w:t>
      </w:r>
      <w:r w:rsidRPr="00125FAF">
        <w:rPr>
          <w:sz w:val="22"/>
          <w:szCs w:val="22"/>
        </w:rPr>
        <w:t xml:space="preserve">(2023) ‘Dopamine, Immunity, and Disease’, </w:t>
      </w:r>
      <w:r w:rsidRPr="00125FAF">
        <w:rPr>
          <w:rStyle w:val="Emphasis"/>
          <w:sz w:val="22"/>
          <w:szCs w:val="22"/>
        </w:rPr>
        <w:t>Pharmacological Reviews</w:t>
      </w:r>
      <w:r w:rsidRPr="00125FAF">
        <w:rPr>
          <w:sz w:val="22"/>
          <w:szCs w:val="22"/>
        </w:rPr>
        <w:t>, 75(1), pp. 62–158.</w:t>
      </w:r>
    </w:p>
    <w:p w14:paraId="68B9C738"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Subramanian, V.S., Mohammed, Z.M., Molina, A., Marchant, J.S., Vaziri, N.D. &amp; Said, H.M. (2007) ‘Vitamin B1 (thiamine) uptake by human retinal pigment epithelial (ARPE-19) cells: mechanism and regulation’, </w:t>
      </w:r>
      <w:r w:rsidRPr="00125FAF">
        <w:rPr>
          <w:rStyle w:val="Emphasis"/>
          <w:sz w:val="22"/>
          <w:szCs w:val="22"/>
        </w:rPr>
        <w:t>Journal of Physiology</w:t>
      </w:r>
      <w:r w:rsidRPr="00125FAF">
        <w:rPr>
          <w:sz w:val="22"/>
          <w:szCs w:val="22"/>
        </w:rPr>
        <w:t>, 582(Pt 1), pp. 73–85.</w:t>
      </w:r>
    </w:p>
    <w:p w14:paraId="3A1C958C" w14:textId="77777777" w:rsidR="00125FAF" w:rsidRPr="00125FAF" w:rsidRDefault="00125FAF" w:rsidP="00125FAF">
      <w:pPr>
        <w:pStyle w:val="NormalWeb"/>
        <w:numPr>
          <w:ilvl w:val="0"/>
          <w:numId w:val="32"/>
        </w:numPr>
        <w:ind w:left="450"/>
        <w:jc w:val="both"/>
        <w:rPr>
          <w:sz w:val="22"/>
          <w:szCs w:val="22"/>
        </w:rPr>
      </w:pPr>
      <w:r w:rsidRPr="00125FAF">
        <w:rPr>
          <w:sz w:val="22"/>
          <w:szCs w:val="22"/>
          <w:lang w:val="de-DE"/>
        </w:rPr>
        <w:t xml:space="preserve">Guetterman, H.M., Vázquez-Lorente, H., van der Merwe, L.F., et al. </w:t>
      </w:r>
      <w:r w:rsidRPr="00125FAF">
        <w:rPr>
          <w:sz w:val="22"/>
          <w:szCs w:val="22"/>
        </w:rPr>
        <w:t xml:space="preserve">(2022) ‘Vitamin B-12 and the Gastrointestinal Microbiome: A Systematic Review’, </w:t>
      </w:r>
      <w:r w:rsidRPr="00125FAF">
        <w:rPr>
          <w:rStyle w:val="Emphasis"/>
          <w:sz w:val="22"/>
          <w:szCs w:val="22"/>
        </w:rPr>
        <w:t>Advances in Nutrition</w:t>
      </w:r>
      <w:r w:rsidRPr="00125FAF">
        <w:rPr>
          <w:sz w:val="22"/>
          <w:szCs w:val="22"/>
        </w:rPr>
        <w:t>, 13(2), pp. 530–558.</w:t>
      </w:r>
    </w:p>
    <w:p w14:paraId="75A1EC68" w14:textId="77777777" w:rsidR="00125FAF" w:rsidRPr="00125FAF" w:rsidRDefault="00125FAF" w:rsidP="00125FAF">
      <w:pPr>
        <w:pStyle w:val="NormalWeb"/>
        <w:numPr>
          <w:ilvl w:val="0"/>
          <w:numId w:val="32"/>
        </w:numPr>
        <w:ind w:left="450"/>
        <w:jc w:val="both"/>
        <w:rPr>
          <w:sz w:val="22"/>
          <w:szCs w:val="22"/>
        </w:rPr>
      </w:pPr>
      <w:proofErr w:type="spellStart"/>
      <w:r w:rsidRPr="00125FAF">
        <w:rPr>
          <w:sz w:val="22"/>
          <w:szCs w:val="22"/>
        </w:rPr>
        <w:t>Cherayil</w:t>
      </w:r>
      <w:proofErr w:type="spellEnd"/>
      <w:r w:rsidRPr="00125FAF">
        <w:rPr>
          <w:sz w:val="22"/>
          <w:szCs w:val="22"/>
        </w:rPr>
        <w:t xml:space="preserve">, B.J. (2010) ‘Iron and immunity: immunological consequences of iron deficiency and overload’, </w:t>
      </w:r>
      <w:r w:rsidRPr="00125FAF">
        <w:rPr>
          <w:rStyle w:val="Emphasis"/>
          <w:sz w:val="22"/>
          <w:szCs w:val="22"/>
        </w:rPr>
        <w:t>Archives of Immunology and Therapy Experimental</w:t>
      </w:r>
      <w:r w:rsidRPr="00125FAF">
        <w:rPr>
          <w:sz w:val="22"/>
          <w:szCs w:val="22"/>
        </w:rPr>
        <w:t>, 58(6), pp. 407–415.</w:t>
      </w:r>
    </w:p>
    <w:p w14:paraId="5FF735BC" w14:textId="77777777" w:rsidR="00125FAF" w:rsidRPr="00125FAF" w:rsidRDefault="00125FAF" w:rsidP="00125FAF">
      <w:pPr>
        <w:pStyle w:val="NormalWeb"/>
        <w:numPr>
          <w:ilvl w:val="0"/>
          <w:numId w:val="32"/>
        </w:numPr>
        <w:ind w:left="450"/>
        <w:jc w:val="both"/>
        <w:rPr>
          <w:sz w:val="22"/>
          <w:szCs w:val="22"/>
        </w:rPr>
      </w:pPr>
      <w:r w:rsidRPr="00125FAF">
        <w:rPr>
          <w:sz w:val="22"/>
          <w:szCs w:val="22"/>
          <w:lang w:val="de-DE"/>
        </w:rPr>
        <w:t xml:space="preserve">Malesza, I.J., Bartoszewicz, M., Bąk, K., et al. </w:t>
      </w:r>
      <w:r w:rsidRPr="00125FAF">
        <w:rPr>
          <w:sz w:val="22"/>
          <w:szCs w:val="22"/>
        </w:rPr>
        <w:t xml:space="preserve">(2022) ‘The dark side of iron: The relationship between iron, inflammation and gut microbiota in selected diseases associated with iron deficiency anaemia—a narrative review’, </w:t>
      </w:r>
      <w:r w:rsidRPr="00125FAF">
        <w:rPr>
          <w:rStyle w:val="Emphasis"/>
          <w:sz w:val="22"/>
          <w:szCs w:val="22"/>
        </w:rPr>
        <w:t>Nutrients</w:t>
      </w:r>
      <w:r w:rsidRPr="00125FAF">
        <w:rPr>
          <w:sz w:val="22"/>
          <w:szCs w:val="22"/>
        </w:rPr>
        <w:t>, 14(17), p. 3478.</w:t>
      </w:r>
    </w:p>
    <w:p w14:paraId="29D55320"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Gilbert, C. (2013) ‘The eye signs of vitamin A deficiency’, </w:t>
      </w:r>
      <w:r w:rsidRPr="00125FAF">
        <w:rPr>
          <w:rStyle w:val="Emphasis"/>
          <w:sz w:val="22"/>
          <w:szCs w:val="22"/>
        </w:rPr>
        <w:t>Community Eye Health</w:t>
      </w:r>
      <w:r w:rsidRPr="00125FAF">
        <w:rPr>
          <w:sz w:val="22"/>
          <w:szCs w:val="22"/>
        </w:rPr>
        <w:t>, 26(84), pp. 66–67.</w:t>
      </w:r>
    </w:p>
    <w:p w14:paraId="77E2C6B1"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Xu, H., et al. (2022) ‘Plasma levels of omega-3 and omega-6 derived oxylipins are associated with </w:t>
      </w:r>
      <w:proofErr w:type="spellStart"/>
      <w:r w:rsidRPr="00125FAF">
        <w:rPr>
          <w:sz w:val="22"/>
          <w:szCs w:val="22"/>
        </w:rPr>
        <w:t>fecal</w:t>
      </w:r>
      <w:proofErr w:type="spellEnd"/>
      <w:r w:rsidRPr="00125FAF">
        <w:rPr>
          <w:sz w:val="22"/>
          <w:szCs w:val="22"/>
        </w:rPr>
        <w:t xml:space="preserve"> microbiota composition in young adults’, </w:t>
      </w:r>
      <w:r w:rsidRPr="00125FAF">
        <w:rPr>
          <w:rStyle w:val="Emphasis"/>
          <w:sz w:val="22"/>
          <w:szCs w:val="22"/>
        </w:rPr>
        <w:t>Nutrients</w:t>
      </w:r>
      <w:r w:rsidRPr="00125FAF">
        <w:rPr>
          <w:sz w:val="22"/>
          <w:szCs w:val="22"/>
        </w:rPr>
        <w:t>, 14(23), p. 4991.</w:t>
      </w:r>
    </w:p>
    <w:p w14:paraId="51ED6CDC"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Calder, P.C. (2017) ‘Omega-3 fatty acids and inflammatory processes: from molecules to man’, </w:t>
      </w:r>
      <w:r w:rsidRPr="00125FAF">
        <w:rPr>
          <w:rStyle w:val="Emphasis"/>
          <w:sz w:val="22"/>
          <w:szCs w:val="22"/>
        </w:rPr>
        <w:t>Biochemical Society Transactions</w:t>
      </w:r>
      <w:r w:rsidRPr="00125FAF">
        <w:rPr>
          <w:sz w:val="22"/>
          <w:szCs w:val="22"/>
        </w:rPr>
        <w:t>, 45(5), pp. 1105–1115.</w:t>
      </w:r>
    </w:p>
    <w:p w14:paraId="1C7617CE"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Zhang, F., Li, X. &amp; Wei, Y. (2023) ‘Selenium and </w:t>
      </w:r>
      <w:proofErr w:type="spellStart"/>
      <w:r w:rsidRPr="00125FAF">
        <w:rPr>
          <w:sz w:val="22"/>
          <w:szCs w:val="22"/>
        </w:rPr>
        <w:t>selenoproteins</w:t>
      </w:r>
      <w:proofErr w:type="spellEnd"/>
      <w:r w:rsidRPr="00125FAF">
        <w:rPr>
          <w:sz w:val="22"/>
          <w:szCs w:val="22"/>
        </w:rPr>
        <w:t xml:space="preserve"> in health’, </w:t>
      </w:r>
      <w:r w:rsidRPr="00125FAF">
        <w:rPr>
          <w:rStyle w:val="Emphasis"/>
          <w:sz w:val="22"/>
          <w:szCs w:val="22"/>
        </w:rPr>
        <w:t>Biomolecules</w:t>
      </w:r>
      <w:r w:rsidRPr="00125FAF">
        <w:rPr>
          <w:sz w:val="22"/>
          <w:szCs w:val="22"/>
        </w:rPr>
        <w:t>, 13(5), p. 799.</w:t>
      </w:r>
    </w:p>
    <w:p w14:paraId="797BF22E"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Wang, J., Wu, S., Zhang, Y., Yang, J. &amp; Hu, Z. (2022) ‘Gut microbiota and calcium balance’, </w:t>
      </w:r>
      <w:r w:rsidRPr="00125FAF">
        <w:rPr>
          <w:rStyle w:val="Emphasis"/>
          <w:sz w:val="22"/>
          <w:szCs w:val="22"/>
        </w:rPr>
        <w:t>Frontiers in Microbiology</w:t>
      </w:r>
      <w:r w:rsidRPr="00125FAF">
        <w:rPr>
          <w:sz w:val="22"/>
          <w:szCs w:val="22"/>
        </w:rPr>
        <w:t>, 13, p. 1033933.</w:t>
      </w:r>
    </w:p>
    <w:p w14:paraId="2306BF55"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Castro-Castaneda, C.R., et al. (2022) ‘Nutraceuticals: A Promising Therapeutic Approach in Ophthalmology’, </w:t>
      </w:r>
      <w:r w:rsidRPr="00125FAF">
        <w:rPr>
          <w:rStyle w:val="Emphasis"/>
          <w:sz w:val="22"/>
          <w:szCs w:val="22"/>
        </w:rPr>
        <w:t>Nutrients</w:t>
      </w:r>
      <w:r w:rsidRPr="00125FAF">
        <w:rPr>
          <w:sz w:val="22"/>
          <w:szCs w:val="22"/>
        </w:rPr>
        <w:t>, 14(23), p. 5014.</w:t>
      </w:r>
    </w:p>
    <w:p w14:paraId="54E6D3A7"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Amin, H. &amp; </w:t>
      </w:r>
      <w:proofErr w:type="spellStart"/>
      <w:r w:rsidRPr="00125FAF">
        <w:rPr>
          <w:sz w:val="22"/>
          <w:szCs w:val="22"/>
        </w:rPr>
        <w:t>Shoughy</w:t>
      </w:r>
      <w:proofErr w:type="spellEnd"/>
      <w:r w:rsidRPr="00125FAF">
        <w:rPr>
          <w:sz w:val="22"/>
          <w:szCs w:val="22"/>
        </w:rPr>
        <w:t xml:space="preserve">, S. (2023) ‘The role of microbiome in uveitis’, </w:t>
      </w:r>
      <w:r w:rsidRPr="00125FAF">
        <w:rPr>
          <w:rStyle w:val="Emphasis"/>
          <w:sz w:val="22"/>
          <w:szCs w:val="22"/>
        </w:rPr>
        <w:t>Exploratory Medicine</w:t>
      </w:r>
      <w:r w:rsidRPr="00125FAF">
        <w:rPr>
          <w:sz w:val="22"/>
          <w:szCs w:val="22"/>
        </w:rPr>
        <w:t>, 4(6), pp. 1001–1013.</w:t>
      </w:r>
    </w:p>
    <w:p w14:paraId="30DCC521" w14:textId="77777777" w:rsidR="00125FAF" w:rsidRPr="00125FAF" w:rsidRDefault="00125FAF" w:rsidP="00125FAF">
      <w:pPr>
        <w:pStyle w:val="NormalWeb"/>
        <w:numPr>
          <w:ilvl w:val="0"/>
          <w:numId w:val="32"/>
        </w:numPr>
        <w:ind w:left="450"/>
        <w:jc w:val="both"/>
        <w:rPr>
          <w:sz w:val="22"/>
          <w:szCs w:val="22"/>
        </w:rPr>
      </w:pPr>
      <w:r w:rsidRPr="00125FAF">
        <w:rPr>
          <w:sz w:val="22"/>
          <w:szCs w:val="22"/>
        </w:rPr>
        <w:t>Rasouli-</w:t>
      </w:r>
      <w:proofErr w:type="spellStart"/>
      <w:r w:rsidRPr="00125FAF">
        <w:rPr>
          <w:sz w:val="22"/>
          <w:szCs w:val="22"/>
        </w:rPr>
        <w:t>Saravani</w:t>
      </w:r>
      <w:proofErr w:type="spellEnd"/>
      <w:r w:rsidRPr="00125FAF">
        <w:rPr>
          <w:sz w:val="22"/>
          <w:szCs w:val="22"/>
        </w:rPr>
        <w:t xml:space="preserve">, A., </w:t>
      </w:r>
      <w:proofErr w:type="spellStart"/>
      <w:r w:rsidRPr="00125FAF">
        <w:rPr>
          <w:sz w:val="22"/>
          <w:szCs w:val="22"/>
        </w:rPr>
        <w:t>Jahankhani</w:t>
      </w:r>
      <w:proofErr w:type="spellEnd"/>
      <w:r w:rsidRPr="00125FAF">
        <w:rPr>
          <w:sz w:val="22"/>
          <w:szCs w:val="22"/>
        </w:rPr>
        <w:t xml:space="preserve">, K., Moradi, S., </w:t>
      </w:r>
      <w:proofErr w:type="spellStart"/>
      <w:r w:rsidRPr="00125FAF">
        <w:rPr>
          <w:sz w:val="22"/>
          <w:szCs w:val="22"/>
        </w:rPr>
        <w:t>Gorgani</w:t>
      </w:r>
      <w:proofErr w:type="spellEnd"/>
      <w:r w:rsidRPr="00125FAF">
        <w:rPr>
          <w:sz w:val="22"/>
          <w:szCs w:val="22"/>
        </w:rPr>
        <w:t xml:space="preserve">, M., </w:t>
      </w:r>
      <w:proofErr w:type="spellStart"/>
      <w:r w:rsidRPr="00125FAF">
        <w:rPr>
          <w:sz w:val="22"/>
          <w:szCs w:val="22"/>
        </w:rPr>
        <w:t>Shafaghat</w:t>
      </w:r>
      <w:proofErr w:type="spellEnd"/>
      <w:r w:rsidRPr="00125FAF">
        <w:rPr>
          <w:sz w:val="22"/>
          <w:szCs w:val="22"/>
        </w:rPr>
        <w:t xml:space="preserve">, Z., </w:t>
      </w:r>
      <w:proofErr w:type="spellStart"/>
      <w:r w:rsidRPr="00125FAF">
        <w:rPr>
          <w:sz w:val="22"/>
          <w:szCs w:val="22"/>
        </w:rPr>
        <w:t>Mirsanei</w:t>
      </w:r>
      <w:proofErr w:type="spellEnd"/>
      <w:r w:rsidRPr="00125FAF">
        <w:rPr>
          <w:sz w:val="22"/>
          <w:szCs w:val="22"/>
        </w:rPr>
        <w:t xml:space="preserve">, Z., Mehmandar, A. &amp; Mirzaei, R. (2023) ‘Role of microbiota short-chain fatty acids in the pathogenesis of autoimmune diseases’, </w:t>
      </w:r>
      <w:r w:rsidRPr="00125FAF">
        <w:rPr>
          <w:rStyle w:val="Emphasis"/>
          <w:sz w:val="22"/>
          <w:szCs w:val="22"/>
        </w:rPr>
        <w:t>Biomedicine &amp; Pharmacotherapy</w:t>
      </w:r>
      <w:r w:rsidRPr="00125FAF">
        <w:rPr>
          <w:sz w:val="22"/>
          <w:szCs w:val="22"/>
        </w:rPr>
        <w:t>, 162, p. 114620.</w:t>
      </w:r>
    </w:p>
    <w:p w14:paraId="20835C28"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Enríquez-de-Salamanca, A., Castellanos, E., Stern, M.E., Fernández, I., Carreño, E., García-Vázquez, C., Herreras, J.M. &amp; Calonge, M. (2010) ‘Tear cytokine and chemokine analysis and clinical correlations in evaporative-type dry eye disease’, </w:t>
      </w:r>
      <w:r w:rsidRPr="00125FAF">
        <w:rPr>
          <w:rStyle w:val="Emphasis"/>
          <w:sz w:val="22"/>
          <w:szCs w:val="22"/>
        </w:rPr>
        <w:t>Molecular Vision</w:t>
      </w:r>
      <w:r w:rsidRPr="00125FAF">
        <w:rPr>
          <w:sz w:val="22"/>
          <w:szCs w:val="22"/>
        </w:rPr>
        <w:t>, 16, pp. 862–873.</w:t>
      </w:r>
    </w:p>
    <w:p w14:paraId="6A7323D9"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Naik, K., </w:t>
      </w:r>
      <w:proofErr w:type="spellStart"/>
      <w:r w:rsidRPr="00125FAF">
        <w:rPr>
          <w:sz w:val="22"/>
          <w:szCs w:val="22"/>
        </w:rPr>
        <w:t>Magdum</w:t>
      </w:r>
      <w:proofErr w:type="spellEnd"/>
      <w:r w:rsidRPr="00125FAF">
        <w:rPr>
          <w:sz w:val="22"/>
          <w:szCs w:val="22"/>
        </w:rPr>
        <w:t xml:space="preserve">, R., Ahuja, A., Kaul, S., Johnson, S., Mishra, A., Patil, M., Dhore, N. &amp; Alapati, A. (2022) ‘Ocular surface diseases in patients with diabetes’, </w:t>
      </w:r>
      <w:proofErr w:type="spellStart"/>
      <w:r w:rsidRPr="00125FAF">
        <w:rPr>
          <w:rStyle w:val="Emphasis"/>
          <w:sz w:val="22"/>
          <w:szCs w:val="22"/>
        </w:rPr>
        <w:t>Cureus</w:t>
      </w:r>
      <w:proofErr w:type="spellEnd"/>
      <w:r w:rsidRPr="00125FAF">
        <w:rPr>
          <w:sz w:val="22"/>
          <w:szCs w:val="22"/>
        </w:rPr>
        <w:t>, 14(3), p. e23401.</w:t>
      </w:r>
    </w:p>
    <w:p w14:paraId="5E333A4F"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Zhang, X., Zhao, L., Deng, S., Sun, X. &amp; Wang, N. (2016) ‘Dry eye syndrome in patients with diabetes mellitus: prevalence, </w:t>
      </w:r>
      <w:proofErr w:type="spellStart"/>
      <w:r w:rsidRPr="00125FAF">
        <w:rPr>
          <w:sz w:val="22"/>
          <w:szCs w:val="22"/>
        </w:rPr>
        <w:t>etiology</w:t>
      </w:r>
      <w:proofErr w:type="spellEnd"/>
      <w:r w:rsidRPr="00125FAF">
        <w:rPr>
          <w:sz w:val="22"/>
          <w:szCs w:val="22"/>
        </w:rPr>
        <w:t xml:space="preserve">, and clinical characteristics’, </w:t>
      </w:r>
      <w:r w:rsidRPr="00125FAF">
        <w:rPr>
          <w:rStyle w:val="Emphasis"/>
          <w:sz w:val="22"/>
          <w:szCs w:val="22"/>
        </w:rPr>
        <w:t>Journal of Ophthalmology</w:t>
      </w:r>
      <w:r w:rsidRPr="00125FAF">
        <w:rPr>
          <w:sz w:val="22"/>
          <w:szCs w:val="22"/>
        </w:rPr>
        <w:t>, 2016, p. 8201053.</w:t>
      </w:r>
    </w:p>
    <w:p w14:paraId="6E50D9EA"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Li, W.Z., Stirling, K. &amp; Yang, J.J. &amp; Zhang, L. (2020) ‘Gut microbiota and diabetes: From correlation to causality and mechanism’, </w:t>
      </w:r>
      <w:r w:rsidRPr="00125FAF">
        <w:rPr>
          <w:rStyle w:val="Emphasis"/>
          <w:sz w:val="22"/>
          <w:szCs w:val="22"/>
        </w:rPr>
        <w:t>World Journal of Diabetes</w:t>
      </w:r>
      <w:r w:rsidRPr="00125FAF">
        <w:rPr>
          <w:sz w:val="22"/>
          <w:szCs w:val="22"/>
        </w:rPr>
        <w:t>, 11(7), pp. 293–308.</w:t>
      </w:r>
    </w:p>
    <w:p w14:paraId="2EC4D175"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Adhikary, K., Sarkar, R., Maity, S., Banerjee, I., Chatterjee, P., Bhattacharya, K., Ahuja, D., Sinha, N.K. &amp; Maiti, R. (2024) ‘The underlying causes, treatment options of gut microbiota and food habits in type 2 diabetes mellitus: a narrative review’, </w:t>
      </w:r>
      <w:r w:rsidRPr="00125FAF">
        <w:rPr>
          <w:rStyle w:val="Emphasis"/>
          <w:sz w:val="22"/>
          <w:szCs w:val="22"/>
        </w:rPr>
        <w:t>Journal of Basic and Clinical Physiology and Pharmacology</w:t>
      </w:r>
      <w:r w:rsidRPr="00125FAF">
        <w:rPr>
          <w:sz w:val="22"/>
          <w:szCs w:val="22"/>
        </w:rPr>
        <w:t xml:space="preserve">, 35(3), pp. 153–168. </w:t>
      </w:r>
      <w:proofErr w:type="spellStart"/>
      <w:r w:rsidRPr="00125FAF">
        <w:rPr>
          <w:sz w:val="22"/>
          <w:szCs w:val="22"/>
        </w:rPr>
        <w:t>doi</w:t>
      </w:r>
      <w:proofErr w:type="spellEnd"/>
      <w:r w:rsidRPr="00125FAF">
        <w:rPr>
          <w:sz w:val="22"/>
          <w:szCs w:val="22"/>
        </w:rPr>
        <w:t>: 10.1515/jbcpp-2024-0043.</w:t>
      </w:r>
    </w:p>
    <w:p w14:paraId="4FA43B43"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Bose, C., Kinge, A.D., Sultana, J., Biswas, A.K., Bhattacharya, K. &amp; </w:t>
      </w:r>
      <w:proofErr w:type="spellStart"/>
      <w:r w:rsidRPr="00125FAF">
        <w:rPr>
          <w:sz w:val="22"/>
          <w:szCs w:val="22"/>
        </w:rPr>
        <w:t>Syamal</w:t>
      </w:r>
      <w:proofErr w:type="spellEnd"/>
      <w:r w:rsidRPr="00125FAF">
        <w:rPr>
          <w:sz w:val="22"/>
          <w:szCs w:val="22"/>
        </w:rPr>
        <w:t xml:space="preserve">, A.K. (2023) ‘Impact of a lifestyle intervention program on cardio-metabolic parameters among obese adults: A comparative population-based study in West Bengal, India’, </w:t>
      </w:r>
      <w:r w:rsidRPr="00125FAF">
        <w:rPr>
          <w:rStyle w:val="Emphasis"/>
          <w:sz w:val="22"/>
          <w:szCs w:val="22"/>
        </w:rPr>
        <w:t>Journal of Medicine and Life</w:t>
      </w:r>
      <w:r w:rsidRPr="00125FAF">
        <w:rPr>
          <w:sz w:val="22"/>
          <w:szCs w:val="22"/>
        </w:rPr>
        <w:t xml:space="preserve">, 16(4), pp. 559–570. </w:t>
      </w:r>
      <w:proofErr w:type="spellStart"/>
      <w:r w:rsidRPr="00125FAF">
        <w:rPr>
          <w:sz w:val="22"/>
          <w:szCs w:val="22"/>
        </w:rPr>
        <w:t>doi</w:t>
      </w:r>
      <w:proofErr w:type="spellEnd"/>
      <w:r w:rsidRPr="00125FAF">
        <w:rPr>
          <w:sz w:val="22"/>
          <w:szCs w:val="22"/>
        </w:rPr>
        <w:t>: 10.25122/jml-2022-0006.</w:t>
      </w:r>
    </w:p>
    <w:p w14:paraId="6A82574C"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Joshi, K.R., Bhattacharya, K., Kar, S.K., Yadav, P.K., Sah, S.K. &amp; Pokhrel, S. (2014) ‘Correlation of type 2 diabetes mellitus and </w:t>
      </w:r>
      <w:proofErr w:type="spellStart"/>
      <w:r w:rsidRPr="00125FAF">
        <w:rPr>
          <w:sz w:val="22"/>
          <w:szCs w:val="22"/>
        </w:rPr>
        <w:t>dyslipidemia</w:t>
      </w:r>
      <w:proofErr w:type="spellEnd"/>
      <w:r w:rsidRPr="00125FAF">
        <w:rPr>
          <w:sz w:val="22"/>
          <w:szCs w:val="22"/>
        </w:rPr>
        <w:t xml:space="preserve"> among Nepalese’, </w:t>
      </w:r>
      <w:r w:rsidRPr="00125FAF">
        <w:rPr>
          <w:rStyle w:val="Emphasis"/>
          <w:sz w:val="22"/>
          <w:szCs w:val="22"/>
        </w:rPr>
        <w:t>Asian Journal of Pharmaceutical and Clinical Research</w:t>
      </w:r>
      <w:r w:rsidRPr="00125FAF">
        <w:rPr>
          <w:sz w:val="22"/>
          <w:szCs w:val="22"/>
        </w:rPr>
        <w:t xml:space="preserve">, 7(5), pp. 295–299. Available at: </w:t>
      </w:r>
      <w:hyperlink r:id="rId19" w:history="1">
        <w:r w:rsidRPr="00125FAF">
          <w:rPr>
            <w:rStyle w:val="Hyperlink"/>
            <w:sz w:val="22"/>
            <w:szCs w:val="22"/>
          </w:rPr>
          <w:t>https://www.innovareacademics.in/journals/index.php/ajpcr/article/view/2681</w:t>
        </w:r>
      </w:hyperlink>
      <w:r w:rsidRPr="00125FAF">
        <w:rPr>
          <w:sz w:val="22"/>
          <w:szCs w:val="22"/>
        </w:rPr>
        <w:t>.</w:t>
      </w:r>
    </w:p>
    <w:p w14:paraId="255BF646"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Das, S., Choudhury, A.B., Dewangan, H., Bhattacharya, K., Kesh, S.B., Dutta, S. &amp; Sengupta, P. (2024) ‘Early manifestation of hyperuricemia and its pathophysiological interface with </w:t>
      </w:r>
      <w:proofErr w:type="spellStart"/>
      <w:r w:rsidRPr="00125FAF">
        <w:rPr>
          <w:sz w:val="22"/>
          <w:szCs w:val="22"/>
        </w:rPr>
        <w:t>adiposopathy</w:t>
      </w:r>
      <w:proofErr w:type="spellEnd"/>
      <w:r w:rsidRPr="00125FAF">
        <w:rPr>
          <w:sz w:val="22"/>
          <w:szCs w:val="22"/>
        </w:rPr>
        <w:t xml:space="preserve"> and metabolic syndrome among young adult: Cross-sectional study’, </w:t>
      </w:r>
      <w:r w:rsidRPr="00125FAF">
        <w:rPr>
          <w:rStyle w:val="Emphasis"/>
          <w:sz w:val="22"/>
          <w:szCs w:val="22"/>
        </w:rPr>
        <w:t>Chemical Biology Letters</w:t>
      </w:r>
      <w:r w:rsidRPr="00125FAF">
        <w:rPr>
          <w:sz w:val="22"/>
          <w:szCs w:val="22"/>
        </w:rPr>
        <w:t xml:space="preserve">, 11(1), p. 653. Available at: </w:t>
      </w:r>
      <w:hyperlink r:id="rId20" w:history="1">
        <w:r w:rsidRPr="00125FAF">
          <w:rPr>
            <w:rStyle w:val="Hyperlink"/>
            <w:sz w:val="22"/>
            <w:szCs w:val="22"/>
          </w:rPr>
          <w:t>https://doi.org/10.62110/sciencein.cbl.2024.v11.653</w:t>
        </w:r>
      </w:hyperlink>
      <w:r w:rsidRPr="00125FAF">
        <w:rPr>
          <w:sz w:val="22"/>
          <w:szCs w:val="22"/>
        </w:rPr>
        <w:t>.</w:t>
      </w:r>
    </w:p>
    <w:p w14:paraId="540391FA" w14:textId="77777777" w:rsidR="00125FAF" w:rsidRPr="00125FAF" w:rsidRDefault="00125FAF" w:rsidP="00125FAF">
      <w:pPr>
        <w:pStyle w:val="NormalWeb"/>
        <w:numPr>
          <w:ilvl w:val="0"/>
          <w:numId w:val="32"/>
        </w:numPr>
        <w:ind w:left="450"/>
        <w:jc w:val="both"/>
        <w:rPr>
          <w:sz w:val="22"/>
          <w:szCs w:val="22"/>
        </w:rPr>
      </w:pPr>
      <w:proofErr w:type="spellStart"/>
      <w:r w:rsidRPr="00125FAF">
        <w:rPr>
          <w:sz w:val="22"/>
          <w:szCs w:val="22"/>
        </w:rPr>
        <w:t>Şahlı</w:t>
      </w:r>
      <w:proofErr w:type="spellEnd"/>
      <w:r w:rsidRPr="00125FAF">
        <w:rPr>
          <w:sz w:val="22"/>
          <w:szCs w:val="22"/>
        </w:rPr>
        <w:t xml:space="preserve">, E. &amp; Gündüz, K. (2017) ‘Thyroid-associated ophthalmopathy’, </w:t>
      </w:r>
      <w:r w:rsidRPr="00125FAF">
        <w:rPr>
          <w:rStyle w:val="Emphasis"/>
          <w:sz w:val="22"/>
          <w:szCs w:val="22"/>
        </w:rPr>
        <w:t>Turkish Journal of Ophthalmology</w:t>
      </w:r>
      <w:r w:rsidRPr="00125FAF">
        <w:rPr>
          <w:sz w:val="22"/>
          <w:szCs w:val="22"/>
        </w:rPr>
        <w:t>, 47(2), pp. 94–105.</w:t>
      </w:r>
    </w:p>
    <w:p w14:paraId="280406A7"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Ronan, V., Yeasin, R. &amp; Claud, E.C. (2021) ‘Childhood development and the microbiome—the intestinal microbiota in maintenance of health and development of disease during childhood development’, </w:t>
      </w:r>
      <w:r w:rsidRPr="00125FAF">
        <w:rPr>
          <w:rStyle w:val="Emphasis"/>
          <w:sz w:val="22"/>
          <w:szCs w:val="22"/>
        </w:rPr>
        <w:t>Gastroenterology</w:t>
      </w:r>
      <w:r w:rsidRPr="00125FAF">
        <w:rPr>
          <w:sz w:val="22"/>
          <w:szCs w:val="22"/>
        </w:rPr>
        <w:t>, 160(2), pp. 495–506.</w:t>
      </w:r>
    </w:p>
    <w:p w14:paraId="3D7FFE8C"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de Oliveira, G.L.V., Leite, A.Z., Higuchi, B.S., Gonzaga, M.I. &amp; Mariano, V.S. (2017) ‘Intestinal dysbiosis and probiotic applications in autoimmune diseases’, </w:t>
      </w:r>
      <w:r w:rsidRPr="00125FAF">
        <w:rPr>
          <w:rStyle w:val="Emphasis"/>
          <w:sz w:val="22"/>
          <w:szCs w:val="22"/>
        </w:rPr>
        <w:t>Immunology</w:t>
      </w:r>
      <w:r w:rsidRPr="00125FAF">
        <w:rPr>
          <w:sz w:val="22"/>
          <w:szCs w:val="22"/>
        </w:rPr>
        <w:t>, 152(1), pp. 1–12.</w:t>
      </w:r>
    </w:p>
    <w:p w14:paraId="72551E71"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Lima Barrientos, J., Rojas Huerta, A., Perez Mendoza, A., Abreu Lopez, B.A., </w:t>
      </w:r>
      <w:proofErr w:type="spellStart"/>
      <w:r w:rsidRPr="00125FAF">
        <w:rPr>
          <w:sz w:val="22"/>
          <w:szCs w:val="22"/>
        </w:rPr>
        <w:t>Salolin</w:t>
      </w:r>
      <w:proofErr w:type="spellEnd"/>
      <w:r w:rsidRPr="00125FAF">
        <w:rPr>
          <w:sz w:val="22"/>
          <w:szCs w:val="22"/>
        </w:rPr>
        <w:t xml:space="preserve"> Vargas, V.P., Garcia Gonzalez, O.Y., Saldaña Ruiz, M.A., Diarte, E. &amp; Torijano Sarria, A.J. (2024) ‘The relationship between gut microbiome and ophthalmologic diseases: A comprehensive review’, </w:t>
      </w:r>
      <w:proofErr w:type="spellStart"/>
      <w:r w:rsidRPr="00125FAF">
        <w:rPr>
          <w:rStyle w:val="Emphasis"/>
          <w:sz w:val="22"/>
          <w:szCs w:val="22"/>
        </w:rPr>
        <w:t>Cureus</w:t>
      </w:r>
      <w:proofErr w:type="spellEnd"/>
      <w:r w:rsidRPr="00125FAF">
        <w:rPr>
          <w:sz w:val="22"/>
          <w:szCs w:val="22"/>
        </w:rPr>
        <w:t>, 16(8), p. e66808.</w:t>
      </w:r>
    </w:p>
    <w:p w14:paraId="467DD03C"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Knezevic, J., </w:t>
      </w:r>
      <w:proofErr w:type="spellStart"/>
      <w:r w:rsidRPr="00125FAF">
        <w:rPr>
          <w:sz w:val="22"/>
          <w:szCs w:val="22"/>
        </w:rPr>
        <w:t>Starchl</w:t>
      </w:r>
      <w:proofErr w:type="spellEnd"/>
      <w:r w:rsidRPr="00125FAF">
        <w:rPr>
          <w:sz w:val="22"/>
          <w:szCs w:val="22"/>
        </w:rPr>
        <w:t xml:space="preserve">, C., </w:t>
      </w:r>
      <w:proofErr w:type="spellStart"/>
      <w:r w:rsidRPr="00125FAF">
        <w:rPr>
          <w:sz w:val="22"/>
          <w:szCs w:val="22"/>
        </w:rPr>
        <w:t>Tmava</w:t>
      </w:r>
      <w:proofErr w:type="spellEnd"/>
      <w:r w:rsidRPr="00125FAF">
        <w:rPr>
          <w:sz w:val="22"/>
          <w:szCs w:val="22"/>
        </w:rPr>
        <w:t xml:space="preserve"> Berisha, A. &amp; Amrein, K. (2020) ‘Thyroid-Gut-Axis: How does the microbiota influence thyroid function?’, </w:t>
      </w:r>
      <w:r w:rsidRPr="00125FAF">
        <w:rPr>
          <w:rStyle w:val="Emphasis"/>
          <w:sz w:val="22"/>
          <w:szCs w:val="22"/>
        </w:rPr>
        <w:t>Nutrients</w:t>
      </w:r>
      <w:r w:rsidRPr="00125FAF">
        <w:rPr>
          <w:sz w:val="22"/>
          <w:szCs w:val="22"/>
        </w:rPr>
        <w:t>, 12(6), p. 1769.</w:t>
      </w:r>
    </w:p>
    <w:p w14:paraId="63AA58F3"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Messmer, E.M. (2015) ‘The pathophysiology, diagnosis, and treatment of dry eye disease’, </w:t>
      </w:r>
      <w:proofErr w:type="spellStart"/>
      <w:r w:rsidRPr="00125FAF">
        <w:rPr>
          <w:rStyle w:val="Emphasis"/>
          <w:sz w:val="22"/>
          <w:szCs w:val="22"/>
        </w:rPr>
        <w:t>Deutsches</w:t>
      </w:r>
      <w:proofErr w:type="spellEnd"/>
      <w:r w:rsidRPr="00125FAF">
        <w:rPr>
          <w:rStyle w:val="Emphasis"/>
          <w:sz w:val="22"/>
          <w:szCs w:val="22"/>
        </w:rPr>
        <w:t xml:space="preserve"> </w:t>
      </w:r>
      <w:proofErr w:type="spellStart"/>
      <w:r w:rsidRPr="00125FAF">
        <w:rPr>
          <w:rStyle w:val="Emphasis"/>
          <w:sz w:val="22"/>
          <w:szCs w:val="22"/>
        </w:rPr>
        <w:t>Ärzteblatt</w:t>
      </w:r>
      <w:proofErr w:type="spellEnd"/>
      <w:r w:rsidRPr="00125FAF">
        <w:rPr>
          <w:rStyle w:val="Emphasis"/>
          <w:sz w:val="22"/>
          <w:szCs w:val="22"/>
        </w:rPr>
        <w:t xml:space="preserve"> International</w:t>
      </w:r>
      <w:r w:rsidRPr="00125FAF">
        <w:rPr>
          <w:sz w:val="22"/>
          <w:szCs w:val="22"/>
        </w:rPr>
        <w:t>, 112(5), pp. 71–81.</w:t>
      </w:r>
    </w:p>
    <w:p w14:paraId="1923433D"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Böhm, E.W., Buonfiglio, F., Voigt, A.M., Bachmann, P., Safi, T., Pfeiffer, N. &amp; Gericke, A. (2023) ‘Oxidative stress in the eye and its role in the pathophysiology of ocular diseases’, </w:t>
      </w:r>
      <w:r w:rsidRPr="00125FAF">
        <w:rPr>
          <w:rStyle w:val="Emphasis"/>
          <w:sz w:val="22"/>
          <w:szCs w:val="22"/>
        </w:rPr>
        <w:t>Redox Biology</w:t>
      </w:r>
      <w:r w:rsidRPr="00125FAF">
        <w:rPr>
          <w:sz w:val="22"/>
          <w:szCs w:val="22"/>
        </w:rPr>
        <w:t>, 68, p. 102967.</w:t>
      </w:r>
    </w:p>
    <w:p w14:paraId="78D73048"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Lee, A.H. &amp; Dixit, V.D. (2020) ‘Dietary regulation of immunity’, </w:t>
      </w:r>
      <w:r w:rsidRPr="00125FAF">
        <w:rPr>
          <w:rStyle w:val="Emphasis"/>
          <w:sz w:val="22"/>
          <w:szCs w:val="22"/>
        </w:rPr>
        <w:t>Immunity</w:t>
      </w:r>
      <w:r w:rsidRPr="00125FAF">
        <w:rPr>
          <w:sz w:val="22"/>
          <w:szCs w:val="22"/>
        </w:rPr>
        <w:t>, 53(3), pp. 510–523.</w:t>
      </w:r>
    </w:p>
    <w:p w14:paraId="7264320A"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Swanson, D., Block, R. &amp; Mousa, S.A. (2012) ‘Omega-3 fatty acids EPA and DHA: health benefits throughout life’, </w:t>
      </w:r>
      <w:r w:rsidRPr="00125FAF">
        <w:rPr>
          <w:rStyle w:val="Emphasis"/>
          <w:sz w:val="22"/>
          <w:szCs w:val="22"/>
        </w:rPr>
        <w:t>Advances in Nutrition</w:t>
      </w:r>
      <w:r w:rsidRPr="00125FAF">
        <w:rPr>
          <w:sz w:val="22"/>
          <w:szCs w:val="22"/>
        </w:rPr>
        <w:t>, 3(1), pp. 1–7.</w:t>
      </w:r>
    </w:p>
    <w:p w14:paraId="08E09B74"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Ryan, M.J., Dudash, H.J., Docherty, M., Geronilla, K.B., Baker, B.A., Haff, G.G., Cutlip, R.G. &amp; Alway, S.E. (2010) ‘Vitamin E and C supplementation reduces oxidative stress, improves antioxidant enzymes and positive muscle work in chronically loaded muscles of aged rats’, </w:t>
      </w:r>
      <w:r w:rsidRPr="00125FAF">
        <w:rPr>
          <w:rStyle w:val="Emphasis"/>
          <w:sz w:val="22"/>
          <w:szCs w:val="22"/>
        </w:rPr>
        <w:t>Experimental Gerontology</w:t>
      </w:r>
      <w:r w:rsidRPr="00125FAF">
        <w:rPr>
          <w:sz w:val="22"/>
          <w:szCs w:val="22"/>
        </w:rPr>
        <w:t>, 45(11), pp. 882–895.</w:t>
      </w:r>
    </w:p>
    <w:p w14:paraId="2BB86152"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Bhargava, R., Kumar, P., Phogat, H., Kaur, A. &amp; Kumar, M. (2015) ‘Oral omega-3 fatty acids treatment in computer vision syndrome related dry eye’, </w:t>
      </w:r>
      <w:r w:rsidRPr="00125FAF">
        <w:rPr>
          <w:rStyle w:val="Emphasis"/>
          <w:sz w:val="22"/>
          <w:szCs w:val="22"/>
        </w:rPr>
        <w:t>Contact Lens and Anterior Eye</w:t>
      </w:r>
      <w:r w:rsidRPr="00125FAF">
        <w:rPr>
          <w:sz w:val="22"/>
          <w:szCs w:val="22"/>
        </w:rPr>
        <w:t>, 38(3), pp. 206–210.</w:t>
      </w:r>
    </w:p>
    <w:p w14:paraId="59F24664"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Wang, X., Zhang, P. &amp; Zhang, X. (2021) ‘Probiotics regulate gut microbiota: An effective </w:t>
      </w:r>
      <w:r w:rsidRPr="00125FAF">
        <w:rPr>
          <w:sz w:val="22"/>
          <w:szCs w:val="22"/>
        </w:rPr>
        <w:t xml:space="preserve">method to improve immunity’, </w:t>
      </w:r>
      <w:r w:rsidRPr="00125FAF">
        <w:rPr>
          <w:rStyle w:val="Emphasis"/>
          <w:sz w:val="22"/>
          <w:szCs w:val="22"/>
        </w:rPr>
        <w:t>Molecules</w:t>
      </w:r>
      <w:r w:rsidRPr="00125FAF">
        <w:rPr>
          <w:sz w:val="22"/>
          <w:szCs w:val="22"/>
        </w:rPr>
        <w:t>, 26(19), p. 6076.</w:t>
      </w:r>
    </w:p>
    <w:p w14:paraId="3E835AF2"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Bhattacharya, K., Dutta, S., Sengupta, P. &amp; Bagchi, S. (2023) ‘Reproductive tract microbiome and therapeutics of infertility’, </w:t>
      </w:r>
      <w:r w:rsidRPr="00125FAF">
        <w:rPr>
          <w:rStyle w:val="Emphasis"/>
          <w:sz w:val="22"/>
          <w:szCs w:val="22"/>
        </w:rPr>
        <w:t>Middle East Fertility Society Journal</w:t>
      </w:r>
      <w:r w:rsidRPr="00125FAF">
        <w:rPr>
          <w:sz w:val="22"/>
          <w:szCs w:val="22"/>
        </w:rPr>
        <w:t xml:space="preserve">, 28, p. 11. Available at: </w:t>
      </w:r>
      <w:hyperlink r:id="rId21" w:history="1">
        <w:r w:rsidRPr="00125FAF">
          <w:rPr>
            <w:rStyle w:val="Hyperlink"/>
            <w:sz w:val="22"/>
            <w:szCs w:val="22"/>
          </w:rPr>
          <w:t>https://doi.org/10.1186/s43043-023-00136-8</w:t>
        </w:r>
      </w:hyperlink>
      <w:r w:rsidRPr="00125FAF">
        <w:rPr>
          <w:sz w:val="22"/>
          <w:szCs w:val="22"/>
        </w:rPr>
        <w:t>.</w:t>
      </w:r>
    </w:p>
    <w:p w14:paraId="5044CFFA"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Pellegrini, M., Senni, C., Bernabei, F., Cicero, A.F.G., </w:t>
      </w:r>
      <w:proofErr w:type="spellStart"/>
      <w:r w:rsidRPr="00125FAF">
        <w:rPr>
          <w:sz w:val="22"/>
          <w:szCs w:val="22"/>
        </w:rPr>
        <w:t>Vagge</w:t>
      </w:r>
      <w:proofErr w:type="spellEnd"/>
      <w:r w:rsidRPr="00125FAF">
        <w:rPr>
          <w:sz w:val="22"/>
          <w:szCs w:val="22"/>
        </w:rPr>
        <w:t xml:space="preserve">, A., Maestri, A., Scorcia, V. &amp; </w:t>
      </w:r>
      <w:proofErr w:type="spellStart"/>
      <w:r w:rsidRPr="00125FAF">
        <w:rPr>
          <w:sz w:val="22"/>
          <w:szCs w:val="22"/>
        </w:rPr>
        <w:t>Giannaccare</w:t>
      </w:r>
      <w:proofErr w:type="spellEnd"/>
      <w:r w:rsidRPr="00125FAF">
        <w:rPr>
          <w:sz w:val="22"/>
          <w:szCs w:val="22"/>
        </w:rPr>
        <w:t xml:space="preserve">, G. (2020) ‘The role of nutrition and nutritional supplements in ocular surface diseases’, </w:t>
      </w:r>
      <w:r w:rsidRPr="00125FAF">
        <w:rPr>
          <w:rStyle w:val="Emphasis"/>
          <w:sz w:val="22"/>
          <w:szCs w:val="22"/>
        </w:rPr>
        <w:t>Nutrients</w:t>
      </w:r>
      <w:r w:rsidRPr="00125FAF">
        <w:rPr>
          <w:sz w:val="22"/>
          <w:szCs w:val="22"/>
        </w:rPr>
        <w:t>, 12(4), p. 952.</w:t>
      </w:r>
    </w:p>
    <w:p w14:paraId="7AEB9065"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Bu, J., Liu, Y., Zhang, R., Lin, S., Zhuang, J., Sun, L., Zhang, L., He, H., Zong, R., Wu, Y. &amp; Li, W. (2024) ‘Potential New Target for Dry Eye Disease-Oxidative Stress’, </w:t>
      </w:r>
      <w:r w:rsidRPr="00125FAF">
        <w:rPr>
          <w:rStyle w:val="Emphasis"/>
          <w:sz w:val="22"/>
          <w:szCs w:val="22"/>
        </w:rPr>
        <w:t>Antioxidants (Basel)</w:t>
      </w:r>
      <w:r w:rsidRPr="00125FAF">
        <w:rPr>
          <w:sz w:val="22"/>
          <w:szCs w:val="22"/>
        </w:rPr>
        <w:t>, 13(4), p. 422.</w:t>
      </w:r>
    </w:p>
    <w:p w14:paraId="3A0F6615" w14:textId="77777777" w:rsidR="00125FAF" w:rsidRPr="00125FAF" w:rsidRDefault="00125FAF" w:rsidP="00125FAF">
      <w:pPr>
        <w:pStyle w:val="NormalWeb"/>
        <w:numPr>
          <w:ilvl w:val="0"/>
          <w:numId w:val="32"/>
        </w:numPr>
        <w:ind w:left="450"/>
        <w:jc w:val="both"/>
        <w:rPr>
          <w:sz w:val="22"/>
          <w:szCs w:val="22"/>
        </w:rPr>
      </w:pPr>
      <w:proofErr w:type="spellStart"/>
      <w:r w:rsidRPr="00125FAF">
        <w:rPr>
          <w:sz w:val="22"/>
          <w:szCs w:val="22"/>
        </w:rPr>
        <w:t>Vig</w:t>
      </w:r>
      <w:proofErr w:type="spellEnd"/>
      <w:r w:rsidRPr="00125FAF">
        <w:rPr>
          <w:sz w:val="22"/>
          <w:szCs w:val="22"/>
        </w:rPr>
        <w:t xml:space="preserve">, M. &amp; Kinet, J.P. (2009) ‘Calcium </w:t>
      </w:r>
      <w:proofErr w:type="spellStart"/>
      <w:r w:rsidRPr="00125FAF">
        <w:rPr>
          <w:sz w:val="22"/>
          <w:szCs w:val="22"/>
        </w:rPr>
        <w:t>signaling</w:t>
      </w:r>
      <w:proofErr w:type="spellEnd"/>
      <w:r w:rsidRPr="00125FAF">
        <w:rPr>
          <w:sz w:val="22"/>
          <w:szCs w:val="22"/>
        </w:rPr>
        <w:t xml:space="preserve"> in immune cells’, </w:t>
      </w:r>
      <w:r w:rsidRPr="00125FAF">
        <w:rPr>
          <w:rStyle w:val="Emphasis"/>
          <w:sz w:val="22"/>
          <w:szCs w:val="22"/>
        </w:rPr>
        <w:t>Nature Immunology</w:t>
      </w:r>
      <w:r w:rsidRPr="00125FAF">
        <w:rPr>
          <w:sz w:val="22"/>
          <w:szCs w:val="22"/>
        </w:rPr>
        <w:t>, 10(1), pp. 21–27.</w:t>
      </w:r>
    </w:p>
    <w:p w14:paraId="7BCC02FA"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Bandyopadhyay, U., Sen, D., Ahuja, D., Mahapatra, S.P., Biswas, D., Maiti, R., Chakraborty, S., Hazra, A., </w:t>
      </w:r>
      <w:proofErr w:type="spellStart"/>
      <w:r w:rsidRPr="00125FAF">
        <w:rPr>
          <w:sz w:val="22"/>
          <w:szCs w:val="22"/>
        </w:rPr>
        <w:t>Parua</w:t>
      </w:r>
      <w:proofErr w:type="spellEnd"/>
      <w:r w:rsidRPr="00125FAF">
        <w:rPr>
          <w:sz w:val="22"/>
          <w:szCs w:val="22"/>
        </w:rPr>
        <w:t xml:space="preserve">, S., Basak, A.K., Das, A., Paul, N., Patra Purkait, M., Syamal, A.K., Dey, R., Bhattacharya, K., Adhikary, K. &amp; Bhattacharjee, A. (2025) ‘Interplay of calcium, vitamin D, and parathormone in the milieu of infections and immunity: Reassessed in the context of COVID-19’, </w:t>
      </w:r>
      <w:r w:rsidRPr="00125FAF">
        <w:rPr>
          <w:rStyle w:val="Emphasis"/>
          <w:sz w:val="22"/>
          <w:szCs w:val="22"/>
        </w:rPr>
        <w:t>Journal of Steroid Biochemistry and Molecular Biology</w:t>
      </w:r>
      <w:r w:rsidRPr="00125FAF">
        <w:rPr>
          <w:sz w:val="22"/>
          <w:szCs w:val="22"/>
        </w:rPr>
        <w:t xml:space="preserve">, 245, p. 106624. </w:t>
      </w:r>
      <w:proofErr w:type="spellStart"/>
      <w:r w:rsidRPr="00125FAF">
        <w:rPr>
          <w:sz w:val="22"/>
          <w:szCs w:val="22"/>
        </w:rPr>
        <w:t>doi</w:t>
      </w:r>
      <w:proofErr w:type="spellEnd"/>
      <w:r w:rsidRPr="00125FAF">
        <w:rPr>
          <w:sz w:val="22"/>
          <w:szCs w:val="22"/>
        </w:rPr>
        <w:t>: 10.1016/j.jsbmb.2024.106624.</w:t>
      </w:r>
    </w:p>
    <w:p w14:paraId="5C9B185F"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Wei, Y. &amp; Asbell, P.A. (2014) ‘The core mechanism of dry eye disease is inflammation’, </w:t>
      </w:r>
      <w:r w:rsidRPr="00125FAF">
        <w:rPr>
          <w:rStyle w:val="Emphasis"/>
          <w:sz w:val="22"/>
          <w:szCs w:val="22"/>
        </w:rPr>
        <w:t>Eye &amp; Contact Lens</w:t>
      </w:r>
      <w:r w:rsidRPr="00125FAF">
        <w:rPr>
          <w:sz w:val="22"/>
          <w:szCs w:val="22"/>
        </w:rPr>
        <w:t>, 40(4), pp. 248–256.</w:t>
      </w:r>
    </w:p>
    <w:p w14:paraId="4502CF8D" w14:textId="77777777" w:rsidR="00125FAF" w:rsidRPr="00125FAF" w:rsidRDefault="00125FAF" w:rsidP="00125FAF">
      <w:pPr>
        <w:pStyle w:val="NormalWeb"/>
        <w:numPr>
          <w:ilvl w:val="0"/>
          <w:numId w:val="32"/>
        </w:numPr>
        <w:ind w:left="450"/>
        <w:jc w:val="both"/>
        <w:rPr>
          <w:sz w:val="22"/>
          <w:szCs w:val="22"/>
        </w:rPr>
      </w:pPr>
      <w:r w:rsidRPr="00125FAF">
        <w:rPr>
          <w:sz w:val="22"/>
          <w:szCs w:val="22"/>
        </w:rPr>
        <w:t xml:space="preserve">Liu, Z., Liu, M., Meng, J., Wang, L. &amp; Chen, M. (2024) ‘A review of the interaction between diet composition and gut microbiota and its impact on associated disease’, </w:t>
      </w:r>
      <w:r w:rsidRPr="00125FAF">
        <w:rPr>
          <w:rStyle w:val="Emphasis"/>
          <w:sz w:val="22"/>
          <w:szCs w:val="22"/>
        </w:rPr>
        <w:t>Journal of Future Foods</w:t>
      </w:r>
      <w:r w:rsidRPr="00125FAF">
        <w:rPr>
          <w:sz w:val="22"/>
          <w:szCs w:val="22"/>
        </w:rPr>
        <w:t>, 4(3), pp. 221–232.</w:t>
      </w:r>
    </w:p>
    <w:p w14:paraId="17E1224D" w14:textId="77777777" w:rsidR="00125FAF" w:rsidRDefault="00125FAF" w:rsidP="00125FAF">
      <w:pPr>
        <w:pStyle w:val="NormalWeb"/>
        <w:numPr>
          <w:ilvl w:val="0"/>
          <w:numId w:val="32"/>
        </w:numPr>
        <w:ind w:left="450"/>
        <w:jc w:val="both"/>
      </w:pPr>
      <w:r w:rsidRPr="00125FAF">
        <w:rPr>
          <w:sz w:val="22"/>
          <w:szCs w:val="22"/>
        </w:rPr>
        <w:t xml:space="preserve">Thulasi, P. &amp; </w:t>
      </w:r>
      <w:proofErr w:type="spellStart"/>
      <w:r w:rsidRPr="00125FAF">
        <w:rPr>
          <w:sz w:val="22"/>
          <w:szCs w:val="22"/>
        </w:rPr>
        <w:t>Djalilian</w:t>
      </w:r>
      <w:proofErr w:type="spellEnd"/>
      <w:r w:rsidRPr="00125FAF">
        <w:rPr>
          <w:sz w:val="22"/>
          <w:szCs w:val="22"/>
        </w:rPr>
        <w:t xml:space="preserve">, A.R. (2017) ‘Update in current diagnostics and therapeutics of dry eye disease’, </w:t>
      </w:r>
      <w:r w:rsidRPr="00125FAF">
        <w:rPr>
          <w:rStyle w:val="Emphasis"/>
          <w:sz w:val="22"/>
          <w:szCs w:val="22"/>
        </w:rPr>
        <w:t>Ophthalmology</w:t>
      </w:r>
      <w:r>
        <w:t>, 124(11S), pp. S27–S33.</w:t>
      </w:r>
    </w:p>
    <w:p w14:paraId="3C51969B" w14:textId="25F6095B" w:rsidR="002806C1" w:rsidRDefault="002806C1" w:rsidP="002806C1"/>
    <w:p w14:paraId="1C52CD2B" w14:textId="024B79D0" w:rsidR="00552079" w:rsidRDefault="00552079" w:rsidP="00552079">
      <w:pPr>
        <w:spacing w:line="276" w:lineRule="auto"/>
        <w:contextualSpacing/>
        <w:rPr>
          <w:rFonts w:ascii="Times" w:hAnsi="Times"/>
        </w:rPr>
      </w:pPr>
    </w:p>
    <w:p w14:paraId="18943B81" w14:textId="77777777" w:rsidR="002E16FE" w:rsidRDefault="002E16FE" w:rsidP="00552079">
      <w:pPr>
        <w:spacing w:line="276" w:lineRule="auto"/>
        <w:contextualSpacing/>
        <w:rPr>
          <w:rFonts w:ascii="Times" w:hAnsi="Times"/>
        </w:rPr>
      </w:pPr>
    </w:p>
    <w:p w14:paraId="195B1287" w14:textId="26DF25DC" w:rsidR="00552079" w:rsidRDefault="00552079" w:rsidP="00552079">
      <w:pPr>
        <w:spacing w:line="276" w:lineRule="auto"/>
        <w:contextualSpacing/>
        <w:jc w:val="both"/>
        <w:rPr>
          <w:rFonts w:ascii="Times" w:hAnsi="Times"/>
        </w:rPr>
      </w:pPr>
      <w:r w:rsidRPr="00552079">
        <w:t xml:space="preserve"> </w:t>
      </w:r>
      <w:r w:rsidRPr="00552079">
        <w:rPr>
          <w:rFonts w:ascii="Times" w:hAnsi="Times"/>
        </w:rPr>
        <w:t>This work is licensed under a Creative Commons Attribution- 4.0 International (CC BY 4.0) License.</w:t>
      </w:r>
    </w:p>
    <w:p w14:paraId="1DFA5CFA" w14:textId="300DB60A" w:rsidR="003D1629" w:rsidRDefault="003D1629" w:rsidP="00552079">
      <w:pPr>
        <w:spacing w:line="276" w:lineRule="auto"/>
        <w:contextualSpacing/>
        <w:jc w:val="both"/>
        <w:rPr>
          <w:rFonts w:ascii="Times" w:hAnsi="Times"/>
        </w:rPr>
      </w:pPr>
    </w:p>
    <w:p w14:paraId="73DD5E54" w14:textId="59098CFC" w:rsidR="003D1629" w:rsidRDefault="003D1629" w:rsidP="00552079">
      <w:pPr>
        <w:spacing w:line="276" w:lineRule="auto"/>
        <w:contextualSpacing/>
        <w:jc w:val="both"/>
        <w:rPr>
          <w:rFonts w:ascii="Times" w:hAnsi="Times"/>
        </w:rPr>
      </w:pPr>
    </w:p>
    <w:p w14:paraId="468B4C02" w14:textId="5E727DE1" w:rsidR="003D1629" w:rsidRPr="003D1629" w:rsidRDefault="009F7C8E" w:rsidP="00552079">
      <w:pPr>
        <w:spacing w:line="276" w:lineRule="auto"/>
        <w:contextualSpacing/>
        <w:jc w:val="both"/>
        <w:rPr>
          <w:rFonts w:ascii="Times" w:hAnsi="Times"/>
          <w:color w:val="FFFFFF" w:themeColor="background1"/>
        </w:rPr>
      </w:pPr>
      <w:r>
        <w:rPr>
          <w:noProof/>
        </w:rPr>
        <w:drawing>
          <wp:anchor distT="0" distB="0" distL="114300" distR="114300" simplePos="0" relativeHeight="251657216" behindDoc="0" locked="0" layoutInCell="1" allowOverlap="1" wp14:anchorId="13E28E2B" wp14:editId="4325B9FB">
            <wp:simplePos x="0" y="0"/>
            <wp:positionH relativeFrom="margin">
              <wp:posOffset>5350510</wp:posOffset>
            </wp:positionH>
            <wp:positionV relativeFrom="margin">
              <wp:posOffset>8686165</wp:posOffset>
            </wp:positionV>
            <wp:extent cx="887413" cy="327660"/>
            <wp:effectExtent l="0" t="0" r="0" b="0"/>
            <wp:wrapSquare wrapText="bothSides"/>
            <wp:docPr id="969684258" name="Picture 2" descr="Creative Commons Licenses - TU Ber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ative Commons Licenses - TU Berlin"/>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0756" t="24203" r="9798" b="22992"/>
                    <a:stretch>
                      <a:fillRect/>
                    </a:stretch>
                  </pic:blipFill>
                  <pic:spPr bwMode="auto">
                    <a:xfrm>
                      <a:off x="0" y="0"/>
                      <a:ext cx="887413" cy="327660"/>
                    </a:xfrm>
                    <a:prstGeom prst="rect">
                      <a:avLst/>
                    </a:prstGeom>
                    <a:noFill/>
                    <a:ln>
                      <a:noFill/>
                    </a:ln>
                    <a:extLst>
                      <a:ext uri="{53640926-AAD7-44D8-BBD7-CCE9431645EC}">
                        <a14:shadowObscured xmlns:a14="http://schemas.microsoft.com/office/drawing/2010/main"/>
                      </a:ext>
                    </a:extLst>
                  </pic:spPr>
                </pic:pic>
              </a:graphicData>
            </a:graphic>
          </wp:anchor>
        </w:drawing>
      </w:r>
      <w:r w:rsidR="003D1629" w:rsidRPr="003D1629">
        <w:rPr>
          <w:rStyle w:val="FootnoteReference"/>
          <w:rFonts w:ascii="Times" w:hAnsi="Times"/>
          <w:color w:val="FFFFFF" w:themeColor="background1"/>
        </w:rPr>
        <w:footnoteReference w:id="1"/>
      </w:r>
    </w:p>
    <w:sectPr w:rsidR="003D1629" w:rsidRPr="003D1629" w:rsidSect="00C0793C">
      <w:type w:val="continuous"/>
      <w:pgSz w:w="11906" w:h="16838" w:code="9"/>
      <w:pgMar w:top="851" w:right="851" w:bottom="851" w:left="851" w:header="720" w:footer="0" w:gutter="0"/>
      <w:cols w:num="2" w:space="38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82B3EE" w14:textId="77777777" w:rsidR="009A159D" w:rsidRDefault="009A159D" w:rsidP="004F7E0A">
      <w:pPr>
        <w:spacing w:after="0" w:line="240" w:lineRule="auto"/>
      </w:pPr>
      <w:r>
        <w:separator/>
      </w:r>
    </w:p>
  </w:endnote>
  <w:endnote w:type="continuationSeparator" w:id="0">
    <w:p w14:paraId="28E4235F" w14:textId="77777777" w:rsidR="009A159D" w:rsidRDefault="009A159D" w:rsidP="004F7E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Geist Fallback">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6969944"/>
      <w:docPartObj>
        <w:docPartGallery w:val="Page Numbers (Bottom of Page)"/>
        <w:docPartUnique/>
      </w:docPartObj>
    </w:sdtPr>
    <w:sdtEndPr>
      <w:rPr>
        <w:noProof/>
      </w:rPr>
    </w:sdtEndPr>
    <w:sdtContent>
      <w:p w14:paraId="574EAB75" w14:textId="77777777" w:rsidR="00620B73" w:rsidRDefault="00D56B1B">
        <w:pPr>
          <w:pStyle w:val="Footer"/>
          <w:jc w:val="right"/>
        </w:pPr>
        <w:r>
          <w:fldChar w:fldCharType="begin"/>
        </w:r>
        <w:r>
          <w:instrText xml:space="preserve"> PAGE   \* MERGEFORMAT </w:instrText>
        </w:r>
        <w:r>
          <w:fldChar w:fldCharType="separate"/>
        </w:r>
        <w:r>
          <w:rPr>
            <w:noProof/>
          </w:rPr>
          <w:t>17</w:t>
        </w:r>
        <w:r>
          <w:rPr>
            <w:noProof/>
          </w:rPr>
          <w:fldChar w:fldCharType="end"/>
        </w:r>
      </w:p>
    </w:sdtContent>
  </w:sdt>
  <w:p w14:paraId="00149401" w14:textId="77777777" w:rsidR="00620B73" w:rsidRDefault="00620B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08400" w14:textId="77777777" w:rsidR="009A159D" w:rsidRDefault="009A159D" w:rsidP="004F7E0A">
      <w:pPr>
        <w:spacing w:after="0" w:line="240" w:lineRule="auto"/>
      </w:pPr>
      <w:r>
        <w:separator/>
      </w:r>
    </w:p>
  </w:footnote>
  <w:footnote w:type="continuationSeparator" w:id="0">
    <w:p w14:paraId="2F7485E2" w14:textId="77777777" w:rsidR="009A159D" w:rsidRDefault="009A159D" w:rsidP="004F7E0A">
      <w:pPr>
        <w:spacing w:after="0" w:line="240" w:lineRule="auto"/>
      </w:pPr>
      <w:r>
        <w:continuationSeparator/>
      </w:r>
    </w:p>
  </w:footnote>
  <w:footnote w:id="1">
    <w:p w14:paraId="50B4AA19" w14:textId="40BA54B2" w:rsidR="003D1629" w:rsidRPr="003D1629" w:rsidRDefault="003D1629">
      <w:pPr>
        <w:pStyle w:val="FootnoteText"/>
        <w:rPr>
          <w:lang w:val="en-IN"/>
        </w:rPr>
      </w:pPr>
      <w:r w:rsidRPr="003D1629">
        <w:t>©</w:t>
      </w:r>
      <w:r w:rsidRPr="003D1629">
        <w:rPr>
          <w:lang w:val="en-IN"/>
        </w:rPr>
        <w:t xml:space="preserve"> </w:t>
      </w:r>
      <w:proofErr w:type="spellStart"/>
      <w:r>
        <w:rPr>
          <w:lang w:val="en-IN"/>
        </w:rPr>
        <w:t>Probecell</w:t>
      </w:r>
      <w:proofErr w:type="spellEnd"/>
      <w:r>
        <w:rPr>
          <w:lang w:val="en-IN"/>
        </w:rPr>
        <w:t xml:space="preserve"> Press All rights reserved.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84A60"/>
    <w:multiLevelType w:val="hybridMultilevel"/>
    <w:tmpl w:val="7A64EF7C"/>
    <w:lvl w:ilvl="0" w:tplc="E81287CA">
      <w:start w:val="3"/>
      <w:numFmt w:val="decimal"/>
      <w:lvlText w:val="%1."/>
      <w:lvlJc w:val="left"/>
      <w:pPr>
        <w:ind w:left="1059" w:hanging="360"/>
      </w:pPr>
      <w:rPr>
        <w:rFonts w:hint="default"/>
        <w:b/>
        <w:color w:val="2F5496" w:themeColor="accent1" w:themeShade="BF"/>
      </w:rPr>
    </w:lvl>
    <w:lvl w:ilvl="1" w:tplc="40090019" w:tentative="1">
      <w:start w:val="1"/>
      <w:numFmt w:val="lowerLetter"/>
      <w:lvlText w:val="%2."/>
      <w:lvlJc w:val="left"/>
      <w:pPr>
        <w:ind w:left="1779" w:hanging="360"/>
      </w:pPr>
    </w:lvl>
    <w:lvl w:ilvl="2" w:tplc="4009001B" w:tentative="1">
      <w:start w:val="1"/>
      <w:numFmt w:val="lowerRoman"/>
      <w:lvlText w:val="%3."/>
      <w:lvlJc w:val="right"/>
      <w:pPr>
        <w:ind w:left="2499" w:hanging="180"/>
      </w:pPr>
    </w:lvl>
    <w:lvl w:ilvl="3" w:tplc="4009000F" w:tentative="1">
      <w:start w:val="1"/>
      <w:numFmt w:val="decimal"/>
      <w:lvlText w:val="%4."/>
      <w:lvlJc w:val="left"/>
      <w:pPr>
        <w:ind w:left="3219" w:hanging="360"/>
      </w:pPr>
    </w:lvl>
    <w:lvl w:ilvl="4" w:tplc="40090019" w:tentative="1">
      <w:start w:val="1"/>
      <w:numFmt w:val="lowerLetter"/>
      <w:lvlText w:val="%5."/>
      <w:lvlJc w:val="left"/>
      <w:pPr>
        <w:ind w:left="3939" w:hanging="360"/>
      </w:pPr>
    </w:lvl>
    <w:lvl w:ilvl="5" w:tplc="4009001B" w:tentative="1">
      <w:start w:val="1"/>
      <w:numFmt w:val="lowerRoman"/>
      <w:lvlText w:val="%6."/>
      <w:lvlJc w:val="right"/>
      <w:pPr>
        <w:ind w:left="4659" w:hanging="180"/>
      </w:pPr>
    </w:lvl>
    <w:lvl w:ilvl="6" w:tplc="4009000F" w:tentative="1">
      <w:start w:val="1"/>
      <w:numFmt w:val="decimal"/>
      <w:lvlText w:val="%7."/>
      <w:lvlJc w:val="left"/>
      <w:pPr>
        <w:ind w:left="5379" w:hanging="360"/>
      </w:pPr>
    </w:lvl>
    <w:lvl w:ilvl="7" w:tplc="40090019" w:tentative="1">
      <w:start w:val="1"/>
      <w:numFmt w:val="lowerLetter"/>
      <w:lvlText w:val="%8."/>
      <w:lvlJc w:val="left"/>
      <w:pPr>
        <w:ind w:left="6099" w:hanging="360"/>
      </w:pPr>
    </w:lvl>
    <w:lvl w:ilvl="8" w:tplc="4009001B" w:tentative="1">
      <w:start w:val="1"/>
      <w:numFmt w:val="lowerRoman"/>
      <w:lvlText w:val="%9."/>
      <w:lvlJc w:val="right"/>
      <w:pPr>
        <w:ind w:left="6819" w:hanging="180"/>
      </w:pPr>
    </w:lvl>
  </w:abstractNum>
  <w:abstractNum w:abstractNumId="1" w15:restartNumberingAfterBreak="0">
    <w:nsid w:val="059B35BA"/>
    <w:multiLevelType w:val="hybridMultilevel"/>
    <w:tmpl w:val="AD48529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69C45F6"/>
    <w:multiLevelType w:val="multilevel"/>
    <w:tmpl w:val="CCBE3628"/>
    <w:lvl w:ilvl="0">
      <w:start w:val="1"/>
      <w:numFmt w:val="lowerLetter"/>
      <w:lvlText w:val="%1."/>
      <w:lvlJc w:val="left"/>
      <w:pPr>
        <w:ind w:left="262"/>
      </w:pPr>
      <w:rPr>
        <w:rFonts w:ascii="Times New Roman" w:eastAsia="Times New Roman" w:hAnsi="Times New Roman" w:cs="Times New Roman"/>
        <w:b w:val="0"/>
        <w:bCs w:val="0"/>
        <w:i w:val="0"/>
        <w:strike w:val="0"/>
        <w:dstrike w:val="0"/>
        <w:color w:val="000000"/>
        <w:sz w:val="20"/>
        <w:szCs w:val="20"/>
        <w:u w:val="none" w:color="000000"/>
        <w:shd w:val="clear" w:color="auto" w:fill="auto"/>
        <w:vertAlign w:val="baseline"/>
      </w:rPr>
    </w:lvl>
    <w:lvl w:ilvl="1">
      <w:start w:val="1"/>
      <w:numFmt w:val="lowerLetter"/>
      <w:lvlText w:val="%2"/>
      <w:lvlJc w:val="left"/>
      <w:pPr>
        <w:ind w:left="112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2">
      <w:start w:val="1"/>
      <w:numFmt w:val="lowerRoman"/>
      <w:lvlText w:val="%3"/>
      <w:lvlJc w:val="left"/>
      <w:pPr>
        <w:ind w:left="184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3">
      <w:start w:val="1"/>
      <w:numFmt w:val="decimal"/>
      <w:lvlText w:val="%4"/>
      <w:lvlJc w:val="left"/>
      <w:pPr>
        <w:ind w:left="256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4">
      <w:start w:val="1"/>
      <w:numFmt w:val="lowerLetter"/>
      <w:lvlText w:val="%5"/>
      <w:lvlJc w:val="left"/>
      <w:pPr>
        <w:ind w:left="328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5">
      <w:start w:val="1"/>
      <w:numFmt w:val="lowerRoman"/>
      <w:lvlText w:val="%6"/>
      <w:lvlJc w:val="left"/>
      <w:pPr>
        <w:ind w:left="400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6">
      <w:start w:val="1"/>
      <w:numFmt w:val="decimal"/>
      <w:lvlText w:val="%7"/>
      <w:lvlJc w:val="left"/>
      <w:pPr>
        <w:ind w:left="472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7">
      <w:start w:val="1"/>
      <w:numFmt w:val="lowerLetter"/>
      <w:lvlText w:val="%8"/>
      <w:lvlJc w:val="left"/>
      <w:pPr>
        <w:ind w:left="544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8">
      <w:start w:val="1"/>
      <w:numFmt w:val="lowerRoman"/>
      <w:lvlText w:val="%9"/>
      <w:lvlJc w:val="left"/>
      <w:pPr>
        <w:ind w:left="616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abstractNum>
  <w:abstractNum w:abstractNumId="3" w15:restartNumberingAfterBreak="0">
    <w:nsid w:val="08A67390"/>
    <w:multiLevelType w:val="hybridMultilevel"/>
    <w:tmpl w:val="6E3A10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D90369"/>
    <w:multiLevelType w:val="hybridMultilevel"/>
    <w:tmpl w:val="F5543CF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0CBA7F79"/>
    <w:multiLevelType w:val="hybridMultilevel"/>
    <w:tmpl w:val="2556D838"/>
    <w:lvl w:ilvl="0" w:tplc="DECA8AAA">
      <w:start w:val="1"/>
      <w:numFmt w:val="decimal"/>
      <w:lvlText w:val="[1].%1"/>
      <w:lvlJc w:val="left"/>
      <w:pPr>
        <w:ind w:left="1146" w:hanging="360"/>
      </w:pPr>
      <w:rPr>
        <w:rFonts w:hint="default"/>
      </w:rPr>
    </w:lvl>
    <w:lvl w:ilvl="1" w:tplc="40090019" w:tentative="1">
      <w:start w:val="1"/>
      <w:numFmt w:val="lowerLetter"/>
      <w:lvlText w:val="%2."/>
      <w:lvlJc w:val="left"/>
      <w:pPr>
        <w:ind w:left="1866" w:hanging="360"/>
      </w:pPr>
    </w:lvl>
    <w:lvl w:ilvl="2" w:tplc="4009001B" w:tentative="1">
      <w:start w:val="1"/>
      <w:numFmt w:val="lowerRoman"/>
      <w:lvlText w:val="%3."/>
      <w:lvlJc w:val="right"/>
      <w:pPr>
        <w:ind w:left="2586" w:hanging="180"/>
      </w:pPr>
    </w:lvl>
    <w:lvl w:ilvl="3" w:tplc="4009000F" w:tentative="1">
      <w:start w:val="1"/>
      <w:numFmt w:val="decimal"/>
      <w:lvlText w:val="%4."/>
      <w:lvlJc w:val="left"/>
      <w:pPr>
        <w:ind w:left="3306" w:hanging="360"/>
      </w:pPr>
    </w:lvl>
    <w:lvl w:ilvl="4" w:tplc="40090019" w:tentative="1">
      <w:start w:val="1"/>
      <w:numFmt w:val="lowerLetter"/>
      <w:lvlText w:val="%5."/>
      <w:lvlJc w:val="left"/>
      <w:pPr>
        <w:ind w:left="4026" w:hanging="360"/>
      </w:pPr>
    </w:lvl>
    <w:lvl w:ilvl="5" w:tplc="4009001B" w:tentative="1">
      <w:start w:val="1"/>
      <w:numFmt w:val="lowerRoman"/>
      <w:lvlText w:val="%6."/>
      <w:lvlJc w:val="right"/>
      <w:pPr>
        <w:ind w:left="4746" w:hanging="180"/>
      </w:pPr>
    </w:lvl>
    <w:lvl w:ilvl="6" w:tplc="4009000F" w:tentative="1">
      <w:start w:val="1"/>
      <w:numFmt w:val="decimal"/>
      <w:lvlText w:val="%7."/>
      <w:lvlJc w:val="left"/>
      <w:pPr>
        <w:ind w:left="5466" w:hanging="360"/>
      </w:pPr>
    </w:lvl>
    <w:lvl w:ilvl="7" w:tplc="40090019" w:tentative="1">
      <w:start w:val="1"/>
      <w:numFmt w:val="lowerLetter"/>
      <w:lvlText w:val="%8."/>
      <w:lvlJc w:val="left"/>
      <w:pPr>
        <w:ind w:left="6186" w:hanging="360"/>
      </w:pPr>
    </w:lvl>
    <w:lvl w:ilvl="8" w:tplc="4009001B" w:tentative="1">
      <w:start w:val="1"/>
      <w:numFmt w:val="lowerRoman"/>
      <w:lvlText w:val="%9."/>
      <w:lvlJc w:val="right"/>
      <w:pPr>
        <w:ind w:left="6906" w:hanging="180"/>
      </w:pPr>
    </w:lvl>
  </w:abstractNum>
  <w:abstractNum w:abstractNumId="6" w15:restartNumberingAfterBreak="0">
    <w:nsid w:val="10596B06"/>
    <w:multiLevelType w:val="multilevel"/>
    <w:tmpl w:val="29842C54"/>
    <w:lvl w:ilvl="0">
      <w:start w:val="1"/>
      <w:numFmt w:val="decimal"/>
      <w:lvlText w:val="[%1]."/>
      <w:lvlJc w:val="left"/>
      <w:pPr>
        <w:ind w:left="699" w:hanging="242"/>
      </w:pPr>
      <w:rPr>
        <w:rFonts w:hint="default"/>
        <w:color w:val="auto"/>
        <w:w w:val="91"/>
        <w:sz w:val="20"/>
        <w:szCs w:val="20"/>
        <w:lang w:val="en-US" w:eastAsia="en-US" w:bidi="ar-SA"/>
      </w:rPr>
    </w:lvl>
    <w:lvl w:ilvl="1">
      <w:start w:val="1"/>
      <w:numFmt w:val="decimal"/>
      <w:lvlText w:val="%1.%2."/>
      <w:lvlJc w:val="left"/>
      <w:pPr>
        <w:ind w:left="387" w:hanging="387"/>
        <w:jc w:val="right"/>
      </w:pPr>
      <w:rPr>
        <w:rFonts w:ascii="Trebuchet MS" w:eastAsia="Trebuchet MS" w:hAnsi="Trebuchet MS" w:cs="Trebuchet MS" w:hint="default"/>
        <w:i/>
        <w:color w:val="10157E"/>
        <w:w w:val="89"/>
        <w:sz w:val="20"/>
        <w:szCs w:val="20"/>
        <w:lang w:val="en-US" w:eastAsia="en-US" w:bidi="ar-SA"/>
      </w:rPr>
    </w:lvl>
    <w:lvl w:ilvl="2">
      <w:start w:val="1"/>
      <w:numFmt w:val="decimal"/>
      <w:lvlText w:val="%1.%2.%3."/>
      <w:lvlJc w:val="left"/>
      <w:pPr>
        <w:ind w:left="978" w:hanging="521"/>
        <w:jc w:val="right"/>
      </w:pPr>
      <w:rPr>
        <w:rFonts w:ascii="Trebuchet MS" w:eastAsia="Trebuchet MS" w:hAnsi="Trebuchet MS" w:cs="Trebuchet MS" w:hint="default"/>
        <w:i/>
        <w:color w:val="10157E"/>
        <w:w w:val="84"/>
        <w:sz w:val="20"/>
        <w:szCs w:val="20"/>
        <w:lang w:val="en-US" w:eastAsia="en-US" w:bidi="ar-SA"/>
      </w:rPr>
    </w:lvl>
    <w:lvl w:ilvl="3">
      <w:numFmt w:val="bullet"/>
      <w:lvlText w:val="•"/>
      <w:lvlJc w:val="left"/>
      <w:pPr>
        <w:ind w:left="1544" w:hanging="521"/>
      </w:pPr>
      <w:rPr>
        <w:rFonts w:hint="default"/>
        <w:lang w:val="en-US" w:eastAsia="en-US" w:bidi="ar-SA"/>
      </w:rPr>
    </w:lvl>
    <w:lvl w:ilvl="4">
      <w:numFmt w:val="bullet"/>
      <w:lvlText w:val="•"/>
      <w:lvlJc w:val="left"/>
      <w:pPr>
        <w:ind w:left="2108" w:hanging="521"/>
      </w:pPr>
      <w:rPr>
        <w:rFonts w:hint="default"/>
        <w:lang w:val="en-US" w:eastAsia="en-US" w:bidi="ar-SA"/>
      </w:rPr>
    </w:lvl>
    <w:lvl w:ilvl="5">
      <w:numFmt w:val="bullet"/>
      <w:lvlText w:val="•"/>
      <w:lvlJc w:val="left"/>
      <w:pPr>
        <w:ind w:left="2672" w:hanging="521"/>
      </w:pPr>
      <w:rPr>
        <w:rFonts w:hint="default"/>
        <w:lang w:val="en-US" w:eastAsia="en-US" w:bidi="ar-SA"/>
      </w:rPr>
    </w:lvl>
    <w:lvl w:ilvl="6">
      <w:numFmt w:val="bullet"/>
      <w:lvlText w:val="•"/>
      <w:lvlJc w:val="left"/>
      <w:pPr>
        <w:ind w:left="3236" w:hanging="521"/>
      </w:pPr>
      <w:rPr>
        <w:rFonts w:hint="default"/>
        <w:lang w:val="en-US" w:eastAsia="en-US" w:bidi="ar-SA"/>
      </w:rPr>
    </w:lvl>
    <w:lvl w:ilvl="7">
      <w:numFmt w:val="bullet"/>
      <w:lvlText w:val="•"/>
      <w:lvlJc w:val="left"/>
      <w:pPr>
        <w:ind w:left="3800" w:hanging="521"/>
      </w:pPr>
      <w:rPr>
        <w:rFonts w:hint="default"/>
        <w:lang w:val="en-US" w:eastAsia="en-US" w:bidi="ar-SA"/>
      </w:rPr>
    </w:lvl>
    <w:lvl w:ilvl="8">
      <w:numFmt w:val="bullet"/>
      <w:lvlText w:val="•"/>
      <w:lvlJc w:val="left"/>
      <w:pPr>
        <w:ind w:left="4364" w:hanging="521"/>
      </w:pPr>
      <w:rPr>
        <w:rFonts w:hint="default"/>
        <w:lang w:val="en-US" w:eastAsia="en-US" w:bidi="ar-SA"/>
      </w:rPr>
    </w:lvl>
  </w:abstractNum>
  <w:abstractNum w:abstractNumId="7" w15:restartNumberingAfterBreak="0">
    <w:nsid w:val="11604BBF"/>
    <w:multiLevelType w:val="multilevel"/>
    <w:tmpl w:val="11604BBF"/>
    <w:lvl w:ilvl="0">
      <w:start w:val="1"/>
      <w:numFmt w:val="bullet"/>
      <w:lvlText w:val="•"/>
      <w:lvlJc w:val="left"/>
      <w:pPr>
        <w:ind w:left="117"/>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1">
      <w:start w:val="1"/>
      <w:numFmt w:val="bullet"/>
      <w:lvlText w:val="o"/>
      <w:lvlJc w:val="left"/>
      <w:pPr>
        <w:ind w:left="1120"/>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2">
      <w:start w:val="1"/>
      <w:numFmt w:val="bullet"/>
      <w:lvlText w:val="▪"/>
      <w:lvlJc w:val="left"/>
      <w:pPr>
        <w:ind w:left="1840"/>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3">
      <w:start w:val="1"/>
      <w:numFmt w:val="bullet"/>
      <w:lvlText w:val="•"/>
      <w:lvlJc w:val="left"/>
      <w:pPr>
        <w:ind w:left="2560"/>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4">
      <w:start w:val="1"/>
      <w:numFmt w:val="bullet"/>
      <w:lvlText w:val="o"/>
      <w:lvlJc w:val="left"/>
      <w:pPr>
        <w:ind w:left="3280"/>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5">
      <w:start w:val="1"/>
      <w:numFmt w:val="bullet"/>
      <w:lvlText w:val="▪"/>
      <w:lvlJc w:val="left"/>
      <w:pPr>
        <w:ind w:left="4000"/>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6">
      <w:start w:val="1"/>
      <w:numFmt w:val="bullet"/>
      <w:lvlText w:val="•"/>
      <w:lvlJc w:val="left"/>
      <w:pPr>
        <w:ind w:left="4720"/>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7">
      <w:start w:val="1"/>
      <w:numFmt w:val="bullet"/>
      <w:lvlText w:val="o"/>
      <w:lvlJc w:val="left"/>
      <w:pPr>
        <w:ind w:left="5440"/>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8">
      <w:start w:val="1"/>
      <w:numFmt w:val="bullet"/>
      <w:lvlText w:val="▪"/>
      <w:lvlJc w:val="left"/>
      <w:pPr>
        <w:ind w:left="6160"/>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abstractNum>
  <w:abstractNum w:abstractNumId="8" w15:restartNumberingAfterBreak="0">
    <w:nsid w:val="139A3C7F"/>
    <w:multiLevelType w:val="multilevel"/>
    <w:tmpl w:val="139A3C7F"/>
    <w:lvl w:ilvl="0">
      <w:start w:val="3"/>
      <w:numFmt w:val="lowerLetter"/>
      <w:lvlText w:val="%1."/>
      <w:lvlJc w:val="left"/>
      <w:pPr>
        <w:ind w:left="201"/>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1">
      <w:start w:val="1"/>
      <w:numFmt w:val="lowerLetter"/>
      <w:lvlText w:val="%2"/>
      <w:lvlJc w:val="left"/>
      <w:pPr>
        <w:ind w:left="1130"/>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2">
      <w:start w:val="1"/>
      <w:numFmt w:val="lowerRoman"/>
      <w:lvlText w:val="%3"/>
      <w:lvlJc w:val="left"/>
      <w:pPr>
        <w:ind w:left="1850"/>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3">
      <w:start w:val="1"/>
      <w:numFmt w:val="decimal"/>
      <w:lvlText w:val="%4"/>
      <w:lvlJc w:val="left"/>
      <w:pPr>
        <w:ind w:left="2570"/>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4">
      <w:start w:val="1"/>
      <w:numFmt w:val="lowerLetter"/>
      <w:lvlText w:val="%5"/>
      <w:lvlJc w:val="left"/>
      <w:pPr>
        <w:ind w:left="3290"/>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5">
      <w:start w:val="1"/>
      <w:numFmt w:val="lowerRoman"/>
      <w:lvlText w:val="%6"/>
      <w:lvlJc w:val="left"/>
      <w:pPr>
        <w:ind w:left="4010"/>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6">
      <w:start w:val="1"/>
      <w:numFmt w:val="decimal"/>
      <w:lvlText w:val="%7"/>
      <w:lvlJc w:val="left"/>
      <w:pPr>
        <w:ind w:left="4730"/>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7">
      <w:start w:val="1"/>
      <w:numFmt w:val="lowerLetter"/>
      <w:lvlText w:val="%8"/>
      <w:lvlJc w:val="left"/>
      <w:pPr>
        <w:ind w:left="5450"/>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8">
      <w:start w:val="1"/>
      <w:numFmt w:val="lowerRoman"/>
      <w:lvlText w:val="%9"/>
      <w:lvlJc w:val="left"/>
      <w:pPr>
        <w:ind w:left="6170"/>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abstractNum>
  <w:abstractNum w:abstractNumId="9" w15:restartNumberingAfterBreak="0">
    <w:nsid w:val="174A1894"/>
    <w:multiLevelType w:val="hybridMultilevel"/>
    <w:tmpl w:val="463018F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19D4154B"/>
    <w:multiLevelType w:val="multilevel"/>
    <w:tmpl w:val="29A62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EC6AAC"/>
    <w:multiLevelType w:val="hybridMultilevel"/>
    <w:tmpl w:val="6CBCF49A"/>
    <w:lvl w:ilvl="0" w:tplc="607A9B6E">
      <w:start w:val="1"/>
      <w:numFmt w:val="decimal"/>
      <w:lvlText w:val="[%1] "/>
      <w:lvlJc w:val="left"/>
      <w:pPr>
        <w:ind w:left="108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F972198"/>
    <w:multiLevelType w:val="multilevel"/>
    <w:tmpl w:val="0DF4C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FD730BA"/>
    <w:multiLevelType w:val="hybridMultilevel"/>
    <w:tmpl w:val="ECD67EBA"/>
    <w:lvl w:ilvl="0" w:tplc="43F205CE">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4" w15:restartNumberingAfterBreak="0">
    <w:nsid w:val="22B53634"/>
    <w:multiLevelType w:val="multilevel"/>
    <w:tmpl w:val="22B53634"/>
    <w:lvl w:ilvl="0">
      <w:start w:val="1"/>
      <w:numFmt w:val="bullet"/>
      <w:lvlText w:val="•"/>
      <w:lvlJc w:val="left"/>
      <w:pPr>
        <w:ind w:left="740"/>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1">
      <w:start w:val="1"/>
      <w:numFmt w:val="bullet"/>
      <w:lvlText w:val="o"/>
      <w:lvlJc w:val="left"/>
      <w:pPr>
        <w:ind w:left="1383"/>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2">
      <w:start w:val="1"/>
      <w:numFmt w:val="bullet"/>
      <w:lvlText w:val="▪"/>
      <w:lvlJc w:val="left"/>
      <w:pPr>
        <w:ind w:left="2103"/>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3">
      <w:start w:val="1"/>
      <w:numFmt w:val="bullet"/>
      <w:lvlText w:val="•"/>
      <w:lvlJc w:val="left"/>
      <w:pPr>
        <w:ind w:left="2823"/>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4">
      <w:start w:val="1"/>
      <w:numFmt w:val="bullet"/>
      <w:lvlText w:val="o"/>
      <w:lvlJc w:val="left"/>
      <w:pPr>
        <w:ind w:left="3543"/>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5">
      <w:start w:val="1"/>
      <w:numFmt w:val="bullet"/>
      <w:lvlText w:val="▪"/>
      <w:lvlJc w:val="left"/>
      <w:pPr>
        <w:ind w:left="4263"/>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6">
      <w:start w:val="1"/>
      <w:numFmt w:val="bullet"/>
      <w:lvlText w:val="•"/>
      <w:lvlJc w:val="left"/>
      <w:pPr>
        <w:ind w:left="4983"/>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7">
      <w:start w:val="1"/>
      <w:numFmt w:val="bullet"/>
      <w:lvlText w:val="o"/>
      <w:lvlJc w:val="left"/>
      <w:pPr>
        <w:ind w:left="5703"/>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lvl w:ilvl="8">
      <w:start w:val="1"/>
      <w:numFmt w:val="bullet"/>
      <w:lvlText w:val="▪"/>
      <w:lvlJc w:val="left"/>
      <w:pPr>
        <w:ind w:left="6423"/>
      </w:pPr>
      <w:rPr>
        <w:rFonts w:ascii="Times New Roman" w:eastAsia="Times New Roman" w:hAnsi="Times New Roman" w:cs="Times New Roman"/>
        <w:b w:val="0"/>
        <w:i w:val="0"/>
        <w:strike w:val="0"/>
        <w:dstrike w:val="0"/>
        <w:color w:val="000000"/>
        <w:sz w:val="20"/>
        <w:szCs w:val="20"/>
        <w:u w:val="none" w:color="000000"/>
        <w:shd w:val="clear" w:color="auto" w:fill="auto"/>
        <w:vertAlign w:val="baseline"/>
      </w:rPr>
    </w:lvl>
  </w:abstractNum>
  <w:abstractNum w:abstractNumId="15" w15:restartNumberingAfterBreak="0">
    <w:nsid w:val="26250E52"/>
    <w:multiLevelType w:val="hybridMultilevel"/>
    <w:tmpl w:val="2B3C2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827912"/>
    <w:multiLevelType w:val="multilevel"/>
    <w:tmpl w:val="EEC24F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0363F60"/>
    <w:multiLevelType w:val="hybridMultilevel"/>
    <w:tmpl w:val="0860C8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5B33FC9"/>
    <w:multiLevelType w:val="hybridMultilevel"/>
    <w:tmpl w:val="9086EE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6724DE"/>
    <w:multiLevelType w:val="hybridMultilevel"/>
    <w:tmpl w:val="5F1C2B62"/>
    <w:lvl w:ilvl="0" w:tplc="B7A81D5A">
      <w:start w:val="1"/>
      <w:numFmt w:val="lowerLetter"/>
      <w:lvlText w:val="%1."/>
      <w:lvlJc w:val="left"/>
      <w:pPr>
        <w:ind w:left="720" w:hanging="360"/>
      </w:pPr>
      <w:rPr>
        <w:rFonts w:ascii="Times New Roman" w:eastAsia="Times New Roman" w:hAnsi="Times New Roman" w:cs="Times New Roman"/>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3B5D2E74"/>
    <w:multiLevelType w:val="multilevel"/>
    <w:tmpl w:val="CE5ACB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DDB354B"/>
    <w:multiLevelType w:val="hybridMultilevel"/>
    <w:tmpl w:val="FD66BE08"/>
    <w:lvl w:ilvl="0" w:tplc="85883A2E">
      <w:start w:val="1"/>
      <w:numFmt w:val="decimal"/>
      <w:lvlText w:val="[%1]."/>
      <w:lvlJc w:val="left"/>
      <w:pPr>
        <w:ind w:left="1146" w:hanging="360"/>
      </w:pPr>
      <w:rPr>
        <w:rFonts w:hint="default"/>
      </w:rPr>
    </w:lvl>
    <w:lvl w:ilvl="1" w:tplc="FFFFFFFF" w:tentative="1">
      <w:start w:val="1"/>
      <w:numFmt w:val="lowerLetter"/>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2" w15:restartNumberingAfterBreak="0">
    <w:nsid w:val="3F4B6202"/>
    <w:multiLevelType w:val="hybridMultilevel"/>
    <w:tmpl w:val="6FE89ED6"/>
    <w:lvl w:ilvl="0" w:tplc="2C3A2D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B17C4E"/>
    <w:multiLevelType w:val="multilevel"/>
    <w:tmpl w:val="34E0E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591751"/>
    <w:multiLevelType w:val="hybridMultilevel"/>
    <w:tmpl w:val="F66E637E"/>
    <w:lvl w:ilvl="0" w:tplc="91528850">
      <w:start w:val="1"/>
      <w:numFmt w:val="decimal"/>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5" w15:restartNumberingAfterBreak="0">
    <w:nsid w:val="51A0394D"/>
    <w:multiLevelType w:val="hybridMultilevel"/>
    <w:tmpl w:val="298655E4"/>
    <w:lvl w:ilvl="0" w:tplc="4009000F">
      <w:start w:val="1"/>
      <w:numFmt w:val="decimal"/>
      <w:lvlText w:val="%1."/>
      <w:lvlJc w:val="left"/>
      <w:pPr>
        <w:ind w:left="720" w:hanging="360"/>
      </w:pPr>
    </w:lvl>
    <w:lvl w:ilvl="1" w:tplc="C6367A7A">
      <w:numFmt w:val="bullet"/>
      <w:lvlText w:val=""/>
      <w:lvlJc w:val="left"/>
      <w:pPr>
        <w:ind w:left="1440" w:hanging="360"/>
      </w:pPr>
      <w:rPr>
        <w:rFonts w:ascii="Aptos" w:eastAsiaTheme="minorEastAsia" w:hAnsi="Aptos" w:cstheme="minorBidi" w:hint="default"/>
      </w:rPr>
    </w:lvl>
    <w:lvl w:ilvl="2" w:tplc="E41ED69C">
      <w:numFmt w:val="bullet"/>
      <w:lvlText w:val="-"/>
      <w:lvlJc w:val="left"/>
      <w:pPr>
        <w:ind w:left="2340" w:hanging="360"/>
      </w:pPr>
      <w:rPr>
        <w:rFonts w:ascii="Aptos" w:eastAsiaTheme="minorEastAsia" w:hAnsi="Aptos" w:cstheme="minorBidi" w:hint="default"/>
      </w:r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58B96EDF"/>
    <w:multiLevelType w:val="multilevel"/>
    <w:tmpl w:val="58B96EDF"/>
    <w:lvl w:ilvl="0">
      <w:start w:val="1"/>
      <w:numFmt w:val="bullet"/>
      <w:lvlText w:val="•"/>
      <w:lvlJc w:val="left"/>
      <w:pPr>
        <w:ind w:left="720"/>
      </w:pPr>
      <w:rPr>
        <w:rFonts w:ascii="Arial" w:eastAsia="Arial" w:hAnsi="Arial" w:cs="Arial"/>
        <w:b w:val="0"/>
        <w:i w:val="0"/>
        <w:strike w:val="0"/>
        <w:dstrike w:val="0"/>
        <w:color w:val="000000"/>
        <w:sz w:val="20"/>
        <w:szCs w:val="20"/>
        <w:u w:val="none" w:color="000000"/>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0"/>
        <w:szCs w:val="20"/>
        <w:u w:val="none" w:color="000000"/>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0"/>
        <w:szCs w:val="20"/>
        <w:u w:val="none" w:color="000000"/>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abstractNum>
  <w:abstractNum w:abstractNumId="27" w15:restartNumberingAfterBreak="0">
    <w:nsid w:val="58F87322"/>
    <w:multiLevelType w:val="multilevel"/>
    <w:tmpl w:val="71B0E2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EB0BF3"/>
    <w:multiLevelType w:val="multilevel"/>
    <w:tmpl w:val="5BEB0BF3"/>
    <w:lvl w:ilvl="0">
      <w:start w:val="1"/>
      <w:numFmt w:val="bullet"/>
      <w:lvlText w:val="•"/>
      <w:lvlJc w:val="left"/>
      <w:pPr>
        <w:ind w:left="720"/>
      </w:pPr>
      <w:rPr>
        <w:rFonts w:ascii="Arial" w:eastAsia="Arial" w:hAnsi="Arial" w:cs="Arial"/>
        <w:b w:val="0"/>
        <w:i w:val="0"/>
        <w:strike w:val="0"/>
        <w:dstrike w:val="0"/>
        <w:color w:val="000000"/>
        <w:sz w:val="20"/>
        <w:szCs w:val="20"/>
        <w:u w:val="none" w:color="000000"/>
        <w:shd w:val="clear" w:color="auto" w:fill="auto"/>
        <w:vertAlign w:val="baseline"/>
      </w:rPr>
    </w:lvl>
    <w:lvl w:ilvl="1">
      <w:start w:val="1"/>
      <w:numFmt w:val="bullet"/>
      <w:lvlText w:val="o"/>
      <w:lvlJc w:val="left"/>
      <w:pPr>
        <w:ind w:left="144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2">
      <w:start w:val="1"/>
      <w:numFmt w:val="bullet"/>
      <w:lvlText w:val="▪"/>
      <w:lvlJc w:val="left"/>
      <w:pPr>
        <w:ind w:left="216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3">
      <w:start w:val="1"/>
      <w:numFmt w:val="bullet"/>
      <w:lvlText w:val="•"/>
      <w:lvlJc w:val="left"/>
      <w:pPr>
        <w:ind w:left="2880"/>
      </w:pPr>
      <w:rPr>
        <w:rFonts w:ascii="Arial" w:eastAsia="Arial" w:hAnsi="Arial" w:cs="Arial"/>
        <w:b w:val="0"/>
        <w:i w:val="0"/>
        <w:strike w:val="0"/>
        <w:dstrike w:val="0"/>
        <w:color w:val="000000"/>
        <w:sz w:val="20"/>
        <w:szCs w:val="20"/>
        <w:u w:val="none" w:color="000000"/>
        <w:shd w:val="clear" w:color="auto" w:fill="auto"/>
        <w:vertAlign w:val="baseline"/>
      </w:rPr>
    </w:lvl>
    <w:lvl w:ilvl="4">
      <w:start w:val="1"/>
      <w:numFmt w:val="bullet"/>
      <w:lvlText w:val="o"/>
      <w:lvlJc w:val="left"/>
      <w:pPr>
        <w:ind w:left="360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5">
      <w:start w:val="1"/>
      <w:numFmt w:val="bullet"/>
      <w:lvlText w:val="▪"/>
      <w:lvlJc w:val="left"/>
      <w:pPr>
        <w:ind w:left="432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6">
      <w:start w:val="1"/>
      <w:numFmt w:val="bullet"/>
      <w:lvlText w:val="•"/>
      <w:lvlJc w:val="left"/>
      <w:pPr>
        <w:ind w:left="5040"/>
      </w:pPr>
      <w:rPr>
        <w:rFonts w:ascii="Arial" w:eastAsia="Arial" w:hAnsi="Arial" w:cs="Arial"/>
        <w:b w:val="0"/>
        <w:i w:val="0"/>
        <w:strike w:val="0"/>
        <w:dstrike w:val="0"/>
        <w:color w:val="000000"/>
        <w:sz w:val="20"/>
        <w:szCs w:val="20"/>
        <w:u w:val="none" w:color="000000"/>
        <w:shd w:val="clear" w:color="auto" w:fill="auto"/>
        <w:vertAlign w:val="baseline"/>
      </w:rPr>
    </w:lvl>
    <w:lvl w:ilvl="7">
      <w:start w:val="1"/>
      <w:numFmt w:val="bullet"/>
      <w:lvlText w:val="o"/>
      <w:lvlJc w:val="left"/>
      <w:pPr>
        <w:ind w:left="576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lvl w:ilvl="8">
      <w:start w:val="1"/>
      <w:numFmt w:val="bullet"/>
      <w:lvlText w:val="▪"/>
      <w:lvlJc w:val="left"/>
      <w:pPr>
        <w:ind w:left="6480"/>
      </w:pPr>
      <w:rPr>
        <w:rFonts w:ascii="Segoe UI Symbol" w:eastAsia="Segoe UI Symbol" w:hAnsi="Segoe UI Symbol" w:cs="Segoe UI Symbol"/>
        <w:b w:val="0"/>
        <w:i w:val="0"/>
        <w:strike w:val="0"/>
        <w:dstrike w:val="0"/>
        <w:color w:val="000000"/>
        <w:sz w:val="20"/>
        <w:szCs w:val="20"/>
        <w:u w:val="none" w:color="000000"/>
        <w:shd w:val="clear" w:color="auto" w:fill="auto"/>
        <w:vertAlign w:val="baseline"/>
      </w:rPr>
    </w:lvl>
  </w:abstractNum>
  <w:abstractNum w:abstractNumId="29" w15:restartNumberingAfterBreak="0">
    <w:nsid w:val="625224BF"/>
    <w:multiLevelType w:val="multilevel"/>
    <w:tmpl w:val="B6D6D86E"/>
    <w:lvl w:ilvl="0">
      <w:start w:val="1"/>
      <w:numFmt w:val="decimal"/>
      <w:lvlText w:val="%1."/>
      <w:lvlJc w:val="left"/>
      <w:pPr>
        <w:ind w:left="242" w:hanging="242"/>
      </w:pPr>
      <w:rPr>
        <w:rFonts w:ascii="Times New Roman" w:eastAsia="Trebuchet MS" w:hAnsi="Times New Roman" w:cs="Times New Roman" w:hint="default"/>
        <w:color w:val="1F4E79" w:themeColor="accent5" w:themeShade="80"/>
        <w:w w:val="91"/>
        <w:sz w:val="24"/>
        <w:szCs w:val="24"/>
        <w:lang w:val="en-US" w:eastAsia="en-US" w:bidi="ar-SA"/>
      </w:rPr>
    </w:lvl>
    <w:lvl w:ilvl="1">
      <w:start w:val="1"/>
      <w:numFmt w:val="decimal"/>
      <w:lvlText w:val="%1.%2."/>
      <w:lvlJc w:val="left"/>
      <w:pPr>
        <w:ind w:left="387" w:hanging="387"/>
        <w:jc w:val="right"/>
      </w:pPr>
      <w:rPr>
        <w:rFonts w:ascii="Trebuchet MS" w:eastAsia="Trebuchet MS" w:hAnsi="Trebuchet MS" w:cs="Trebuchet MS" w:hint="default"/>
        <w:i/>
        <w:color w:val="10157E"/>
        <w:w w:val="89"/>
        <w:sz w:val="20"/>
        <w:szCs w:val="20"/>
        <w:lang w:val="en-US" w:eastAsia="en-US" w:bidi="ar-SA"/>
      </w:rPr>
    </w:lvl>
    <w:lvl w:ilvl="2">
      <w:start w:val="1"/>
      <w:numFmt w:val="decimal"/>
      <w:lvlText w:val="%1.%2.%3."/>
      <w:lvlJc w:val="left"/>
      <w:pPr>
        <w:ind w:left="978" w:hanging="521"/>
        <w:jc w:val="right"/>
      </w:pPr>
      <w:rPr>
        <w:rFonts w:ascii="Trebuchet MS" w:eastAsia="Trebuchet MS" w:hAnsi="Trebuchet MS" w:cs="Trebuchet MS" w:hint="default"/>
        <w:i/>
        <w:color w:val="10157E"/>
        <w:w w:val="84"/>
        <w:sz w:val="20"/>
        <w:szCs w:val="20"/>
        <w:lang w:val="en-US" w:eastAsia="en-US" w:bidi="ar-SA"/>
      </w:rPr>
    </w:lvl>
    <w:lvl w:ilvl="3">
      <w:numFmt w:val="bullet"/>
      <w:lvlText w:val="•"/>
      <w:lvlJc w:val="left"/>
      <w:pPr>
        <w:ind w:left="1544" w:hanging="521"/>
      </w:pPr>
      <w:rPr>
        <w:rFonts w:hint="default"/>
        <w:lang w:val="en-US" w:eastAsia="en-US" w:bidi="ar-SA"/>
      </w:rPr>
    </w:lvl>
    <w:lvl w:ilvl="4">
      <w:numFmt w:val="bullet"/>
      <w:lvlText w:val="•"/>
      <w:lvlJc w:val="left"/>
      <w:pPr>
        <w:ind w:left="2108" w:hanging="521"/>
      </w:pPr>
      <w:rPr>
        <w:rFonts w:hint="default"/>
        <w:lang w:val="en-US" w:eastAsia="en-US" w:bidi="ar-SA"/>
      </w:rPr>
    </w:lvl>
    <w:lvl w:ilvl="5">
      <w:numFmt w:val="bullet"/>
      <w:lvlText w:val="•"/>
      <w:lvlJc w:val="left"/>
      <w:pPr>
        <w:ind w:left="2672" w:hanging="521"/>
      </w:pPr>
      <w:rPr>
        <w:rFonts w:hint="default"/>
        <w:lang w:val="en-US" w:eastAsia="en-US" w:bidi="ar-SA"/>
      </w:rPr>
    </w:lvl>
    <w:lvl w:ilvl="6">
      <w:numFmt w:val="bullet"/>
      <w:lvlText w:val="•"/>
      <w:lvlJc w:val="left"/>
      <w:pPr>
        <w:ind w:left="3236" w:hanging="521"/>
      </w:pPr>
      <w:rPr>
        <w:rFonts w:hint="default"/>
        <w:lang w:val="en-US" w:eastAsia="en-US" w:bidi="ar-SA"/>
      </w:rPr>
    </w:lvl>
    <w:lvl w:ilvl="7">
      <w:numFmt w:val="bullet"/>
      <w:lvlText w:val="•"/>
      <w:lvlJc w:val="left"/>
      <w:pPr>
        <w:ind w:left="3800" w:hanging="521"/>
      </w:pPr>
      <w:rPr>
        <w:rFonts w:hint="default"/>
        <w:lang w:val="en-US" w:eastAsia="en-US" w:bidi="ar-SA"/>
      </w:rPr>
    </w:lvl>
    <w:lvl w:ilvl="8">
      <w:numFmt w:val="bullet"/>
      <w:lvlText w:val="•"/>
      <w:lvlJc w:val="left"/>
      <w:pPr>
        <w:ind w:left="4364" w:hanging="521"/>
      </w:pPr>
      <w:rPr>
        <w:rFonts w:hint="default"/>
        <w:lang w:val="en-US" w:eastAsia="en-US" w:bidi="ar-SA"/>
      </w:rPr>
    </w:lvl>
  </w:abstractNum>
  <w:abstractNum w:abstractNumId="30" w15:restartNumberingAfterBreak="0">
    <w:nsid w:val="6861306C"/>
    <w:multiLevelType w:val="multilevel"/>
    <w:tmpl w:val="CCBE3628"/>
    <w:lvl w:ilvl="0">
      <w:start w:val="1"/>
      <w:numFmt w:val="lowerLetter"/>
      <w:lvlText w:val="%1."/>
      <w:lvlJc w:val="left"/>
      <w:pPr>
        <w:ind w:left="262"/>
      </w:pPr>
      <w:rPr>
        <w:rFonts w:ascii="Times New Roman" w:eastAsia="Times New Roman" w:hAnsi="Times New Roman" w:cs="Times New Roman"/>
        <w:b w:val="0"/>
        <w:bCs w:val="0"/>
        <w:i w:val="0"/>
        <w:strike w:val="0"/>
        <w:dstrike w:val="0"/>
        <w:color w:val="000000"/>
        <w:sz w:val="20"/>
        <w:szCs w:val="20"/>
        <w:u w:val="none" w:color="000000"/>
        <w:shd w:val="clear" w:color="auto" w:fill="auto"/>
        <w:vertAlign w:val="baseline"/>
      </w:rPr>
    </w:lvl>
    <w:lvl w:ilvl="1">
      <w:start w:val="1"/>
      <w:numFmt w:val="lowerLetter"/>
      <w:lvlText w:val="%2"/>
      <w:lvlJc w:val="left"/>
      <w:pPr>
        <w:ind w:left="112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2">
      <w:start w:val="1"/>
      <w:numFmt w:val="lowerRoman"/>
      <w:lvlText w:val="%3"/>
      <w:lvlJc w:val="left"/>
      <w:pPr>
        <w:ind w:left="184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3">
      <w:start w:val="1"/>
      <w:numFmt w:val="decimal"/>
      <w:lvlText w:val="%4"/>
      <w:lvlJc w:val="left"/>
      <w:pPr>
        <w:ind w:left="256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4">
      <w:start w:val="1"/>
      <w:numFmt w:val="lowerLetter"/>
      <w:lvlText w:val="%5"/>
      <w:lvlJc w:val="left"/>
      <w:pPr>
        <w:ind w:left="328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5">
      <w:start w:val="1"/>
      <w:numFmt w:val="lowerRoman"/>
      <w:lvlText w:val="%6"/>
      <w:lvlJc w:val="left"/>
      <w:pPr>
        <w:ind w:left="400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6">
      <w:start w:val="1"/>
      <w:numFmt w:val="decimal"/>
      <w:lvlText w:val="%7"/>
      <w:lvlJc w:val="left"/>
      <w:pPr>
        <w:ind w:left="472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7">
      <w:start w:val="1"/>
      <w:numFmt w:val="lowerLetter"/>
      <w:lvlText w:val="%8"/>
      <w:lvlJc w:val="left"/>
      <w:pPr>
        <w:ind w:left="544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8">
      <w:start w:val="1"/>
      <w:numFmt w:val="lowerRoman"/>
      <w:lvlText w:val="%9"/>
      <w:lvlJc w:val="left"/>
      <w:pPr>
        <w:ind w:left="616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abstractNum>
  <w:abstractNum w:abstractNumId="31" w15:restartNumberingAfterBreak="0">
    <w:nsid w:val="69787193"/>
    <w:multiLevelType w:val="multilevel"/>
    <w:tmpl w:val="40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6D970701"/>
    <w:multiLevelType w:val="hybridMultilevel"/>
    <w:tmpl w:val="DB5C12F8"/>
    <w:lvl w:ilvl="0" w:tplc="607A9B6E">
      <w:start w:val="1"/>
      <w:numFmt w:val="decimal"/>
      <w:lvlText w:val="[%1] "/>
      <w:lvlJc w:val="left"/>
      <w:pPr>
        <w:ind w:left="766" w:hanging="360"/>
      </w:pPr>
      <w:rPr>
        <w:rFonts w:hint="default"/>
      </w:rPr>
    </w:lvl>
    <w:lvl w:ilvl="1" w:tplc="40090019" w:tentative="1">
      <w:start w:val="1"/>
      <w:numFmt w:val="lowerLetter"/>
      <w:lvlText w:val="%2."/>
      <w:lvlJc w:val="left"/>
      <w:pPr>
        <w:ind w:left="1486" w:hanging="360"/>
      </w:pPr>
    </w:lvl>
    <w:lvl w:ilvl="2" w:tplc="4009001B" w:tentative="1">
      <w:start w:val="1"/>
      <w:numFmt w:val="lowerRoman"/>
      <w:lvlText w:val="%3."/>
      <w:lvlJc w:val="right"/>
      <w:pPr>
        <w:ind w:left="2206" w:hanging="180"/>
      </w:pPr>
    </w:lvl>
    <w:lvl w:ilvl="3" w:tplc="4009000F" w:tentative="1">
      <w:start w:val="1"/>
      <w:numFmt w:val="decimal"/>
      <w:lvlText w:val="%4."/>
      <w:lvlJc w:val="left"/>
      <w:pPr>
        <w:ind w:left="2926" w:hanging="360"/>
      </w:pPr>
    </w:lvl>
    <w:lvl w:ilvl="4" w:tplc="40090019" w:tentative="1">
      <w:start w:val="1"/>
      <w:numFmt w:val="lowerLetter"/>
      <w:lvlText w:val="%5."/>
      <w:lvlJc w:val="left"/>
      <w:pPr>
        <w:ind w:left="3646" w:hanging="360"/>
      </w:pPr>
    </w:lvl>
    <w:lvl w:ilvl="5" w:tplc="4009001B" w:tentative="1">
      <w:start w:val="1"/>
      <w:numFmt w:val="lowerRoman"/>
      <w:lvlText w:val="%6."/>
      <w:lvlJc w:val="right"/>
      <w:pPr>
        <w:ind w:left="4366" w:hanging="180"/>
      </w:pPr>
    </w:lvl>
    <w:lvl w:ilvl="6" w:tplc="4009000F" w:tentative="1">
      <w:start w:val="1"/>
      <w:numFmt w:val="decimal"/>
      <w:lvlText w:val="%7."/>
      <w:lvlJc w:val="left"/>
      <w:pPr>
        <w:ind w:left="5086" w:hanging="360"/>
      </w:pPr>
    </w:lvl>
    <w:lvl w:ilvl="7" w:tplc="40090019" w:tentative="1">
      <w:start w:val="1"/>
      <w:numFmt w:val="lowerLetter"/>
      <w:lvlText w:val="%8."/>
      <w:lvlJc w:val="left"/>
      <w:pPr>
        <w:ind w:left="5806" w:hanging="360"/>
      </w:pPr>
    </w:lvl>
    <w:lvl w:ilvl="8" w:tplc="4009001B" w:tentative="1">
      <w:start w:val="1"/>
      <w:numFmt w:val="lowerRoman"/>
      <w:lvlText w:val="%9."/>
      <w:lvlJc w:val="right"/>
      <w:pPr>
        <w:ind w:left="6526" w:hanging="180"/>
      </w:pPr>
    </w:lvl>
  </w:abstractNum>
  <w:abstractNum w:abstractNumId="33" w15:restartNumberingAfterBreak="0">
    <w:nsid w:val="72306929"/>
    <w:multiLevelType w:val="hybridMultilevel"/>
    <w:tmpl w:val="A5C4E186"/>
    <w:lvl w:ilvl="0" w:tplc="607A9B6E">
      <w:start w:val="1"/>
      <w:numFmt w:val="decimal"/>
      <w:lvlText w:val="[%1] "/>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34" w15:restartNumberingAfterBreak="0">
    <w:nsid w:val="77140D52"/>
    <w:multiLevelType w:val="multilevel"/>
    <w:tmpl w:val="B6D6D86E"/>
    <w:lvl w:ilvl="0">
      <w:start w:val="1"/>
      <w:numFmt w:val="decimal"/>
      <w:lvlText w:val="%1."/>
      <w:lvlJc w:val="left"/>
      <w:pPr>
        <w:ind w:left="699" w:hanging="242"/>
      </w:pPr>
      <w:rPr>
        <w:rFonts w:ascii="Times New Roman" w:eastAsia="Trebuchet MS" w:hAnsi="Times New Roman" w:cs="Times New Roman" w:hint="default"/>
        <w:color w:val="1F4E79" w:themeColor="accent5" w:themeShade="80"/>
        <w:w w:val="91"/>
        <w:sz w:val="24"/>
        <w:szCs w:val="24"/>
        <w:lang w:val="en-US" w:eastAsia="en-US" w:bidi="ar-SA"/>
      </w:rPr>
    </w:lvl>
    <w:lvl w:ilvl="1">
      <w:start w:val="1"/>
      <w:numFmt w:val="decimal"/>
      <w:lvlText w:val="%1.%2."/>
      <w:lvlJc w:val="left"/>
      <w:pPr>
        <w:ind w:left="387" w:hanging="387"/>
        <w:jc w:val="right"/>
      </w:pPr>
      <w:rPr>
        <w:rFonts w:ascii="Trebuchet MS" w:eastAsia="Trebuchet MS" w:hAnsi="Trebuchet MS" w:cs="Trebuchet MS" w:hint="default"/>
        <w:i/>
        <w:color w:val="10157E"/>
        <w:w w:val="89"/>
        <w:sz w:val="20"/>
        <w:szCs w:val="20"/>
        <w:lang w:val="en-US" w:eastAsia="en-US" w:bidi="ar-SA"/>
      </w:rPr>
    </w:lvl>
    <w:lvl w:ilvl="2">
      <w:start w:val="1"/>
      <w:numFmt w:val="decimal"/>
      <w:lvlText w:val="%1.%2.%3."/>
      <w:lvlJc w:val="left"/>
      <w:pPr>
        <w:ind w:left="978" w:hanging="521"/>
        <w:jc w:val="right"/>
      </w:pPr>
      <w:rPr>
        <w:rFonts w:ascii="Trebuchet MS" w:eastAsia="Trebuchet MS" w:hAnsi="Trebuchet MS" w:cs="Trebuchet MS" w:hint="default"/>
        <w:i/>
        <w:color w:val="10157E"/>
        <w:w w:val="84"/>
        <w:sz w:val="20"/>
        <w:szCs w:val="20"/>
        <w:lang w:val="en-US" w:eastAsia="en-US" w:bidi="ar-SA"/>
      </w:rPr>
    </w:lvl>
    <w:lvl w:ilvl="3">
      <w:numFmt w:val="bullet"/>
      <w:lvlText w:val="•"/>
      <w:lvlJc w:val="left"/>
      <w:pPr>
        <w:ind w:left="1544" w:hanging="521"/>
      </w:pPr>
      <w:rPr>
        <w:rFonts w:hint="default"/>
        <w:lang w:val="en-US" w:eastAsia="en-US" w:bidi="ar-SA"/>
      </w:rPr>
    </w:lvl>
    <w:lvl w:ilvl="4">
      <w:numFmt w:val="bullet"/>
      <w:lvlText w:val="•"/>
      <w:lvlJc w:val="left"/>
      <w:pPr>
        <w:ind w:left="2108" w:hanging="521"/>
      </w:pPr>
      <w:rPr>
        <w:rFonts w:hint="default"/>
        <w:lang w:val="en-US" w:eastAsia="en-US" w:bidi="ar-SA"/>
      </w:rPr>
    </w:lvl>
    <w:lvl w:ilvl="5">
      <w:numFmt w:val="bullet"/>
      <w:lvlText w:val="•"/>
      <w:lvlJc w:val="left"/>
      <w:pPr>
        <w:ind w:left="2672" w:hanging="521"/>
      </w:pPr>
      <w:rPr>
        <w:rFonts w:hint="default"/>
        <w:lang w:val="en-US" w:eastAsia="en-US" w:bidi="ar-SA"/>
      </w:rPr>
    </w:lvl>
    <w:lvl w:ilvl="6">
      <w:numFmt w:val="bullet"/>
      <w:lvlText w:val="•"/>
      <w:lvlJc w:val="left"/>
      <w:pPr>
        <w:ind w:left="3236" w:hanging="521"/>
      </w:pPr>
      <w:rPr>
        <w:rFonts w:hint="default"/>
        <w:lang w:val="en-US" w:eastAsia="en-US" w:bidi="ar-SA"/>
      </w:rPr>
    </w:lvl>
    <w:lvl w:ilvl="7">
      <w:numFmt w:val="bullet"/>
      <w:lvlText w:val="•"/>
      <w:lvlJc w:val="left"/>
      <w:pPr>
        <w:ind w:left="3800" w:hanging="521"/>
      </w:pPr>
      <w:rPr>
        <w:rFonts w:hint="default"/>
        <w:lang w:val="en-US" w:eastAsia="en-US" w:bidi="ar-SA"/>
      </w:rPr>
    </w:lvl>
    <w:lvl w:ilvl="8">
      <w:numFmt w:val="bullet"/>
      <w:lvlText w:val="•"/>
      <w:lvlJc w:val="left"/>
      <w:pPr>
        <w:ind w:left="4364" w:hanging="521"/>
      </w:pPr>
      <w:rPr>
        <w:rFonts w:hint="default"/>
        <w:lang w:val="en-US" w:eastAsia="en-US" w:bidi="ar-SA"/>
      </w:rPr>
    </w:lvl>
  </w:abstractNum>
  <w:abstractNum w:abstractNumId="35" w15:restartNumberingAfterBreak="0">
    <w:nsid w:val="77247A27"/>
    <w:multiLevelType w:val="multilevel"/>
    <w:tmpl w:val="FD04318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6" w15:restartNumberingAfterBreak="0">
    <w:nsid w:val="7A5A26FA"/>
    <w:multiLevelType w:val="multilevel"/>
    <w:tmpl w:val="CCBE3628"/>
    <w:lvl w:ilvl="0">
      <w:start w:val="1"/>
      <w:numFmt w:val="lowerLetter"/>
      <w:lvlText w:val="%1."/>
      <w:lvlJc w:val="left"/>
      <w:pPr>
        <w:ind w:left="262"/>
      </w:pPr>
      <w:rPr>
        <w:rFonts w:ascii="Times New Roman" w:eastAsia="Times New Roman" w:hAnsi="Times New Roman" w:cs="Times New Roman"/>
        <w:b w:val="0"/>
        <w:bCs w:val="0"/>
        <w:i w:val="0"/>
        <w:strike w:val="0"/>
        <w:dstrike w:val="0"/>
        <w:color w:val="000000"/>
        <w:sz w:val="20"/>
        <w:szCs w:val="20"/>
        <w:u w:val="none" w:color="000000"/>
        <w:shd w:val="clear" w:color="auto" w:fill="auto"/>
        <w:vertAlign w:val="baseline"/>
      </w:rPr>
    </w:lvl>
    <w:lvl w:ilvl="1">
      <w:start w:val="1"/>
      <w:numFmt w:val="lowerLetter"/>
      <w:lvlText w:val="%2"/>
      <w:lvlJc w:val="left"/>
      <w:pPr>
        <w:ind w:left="112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2">
      <w:start w:val="1"/>
      <w:numFmt w:val="lowerRoman"/>
      <w:lvlText w:val="%3"/>
      <w:lvlJc w:val="left"/>
      <w:pPr>
        <w:ind w:left="184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3">
      <w:start w:val="1"/>
      <w:numFmt w:val="decimal"/>
      <w:lvlText w:val="%4"/>
      <w:lvlJc w:val="left"/>
      <w:pPr>
        <w:ind w:left="256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4">
      <w:start w:val="1"/>
      <w:numFmt w:val="lowerLetter"/>
      <w:lvlText w:val="%5"/>
      <w:lvlJc w:val="left"/>
      <w:pPr>
        <w:ind w:left="328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5">
      <w:start w:val="1"/>
      <w:numFmt w:val="lowerRoman"/>
      <w:lvlText w:val="%6"/>
      <w:lvlJc w:val="left"/>
      <w:pPr>
        <w:ind w:left="400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6">
      <w:start w:val="1"/>
      <w:numFmt w:val="decimal"/>
      <w:lvlText w:val="%7"/>
      <w:lvlJc w:val="left"/>
      <w:pPr>
        <w:ind w:left="472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7">
      <w:start w:val="1"/>
      <w:numFmt w:val="lowerLetter"/>
      <w:lvlText w:val="%8"/>
      <w:lvlJc w:val="left"/>
      <w:pPr>
        <w:ind w:left="544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lvl w:ilvl="8">
      <w:start w:val="1"/>
      <w:numFmt w:val="lowerRoman"/>
      <w:lvlText w:val="%9"/>
      <w:lvlJc w:val="left"/>
      <w:pPr>
        <w:ind w:left="6162"/>
      </w:pPr>
      <w:rPr>
        <w:rFonts w:ascii="Times New Roman" w:eastAsia="Times New Roman" w:hAnsi="Times New Roman" w:cs="Times New Roman"/>
        <w:b/>
        <w:bCs/>
        <w:i w:val="0"/>
        <w:strike w:val="0"/>
        <w:dstrike w:val="0"/>
        <w:color w:val="000000"/>
        <w:sz w:val="20"/>
        <w:szCs w:val="20"/>
        <w:u w:val="none" w:color="000000"/>
        <w:shd w:val="clear" w:color="auto" w:fill="auto"/>
        <w:vertAlign w:val="baseline"/>
      </w:rPr>
    </w:lvl>
  </w:abstractNum>
  <w:abstractNum w:abstractNumId="37" w15:restartNumberingAfterBreak="0">
    <w:nsid w:val="7FA70F51"/>
    <w:multiLevelType w:val="multilevel"/>
    <w:tmpl w:val="8A545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06065870">
    <w:abstractNumId w:val="29"/>
  </w:num>
  <w:num w:numId="2" w16cid:durableId="1266040200">
    <w:abstractNumId w:val="28"/>
  </w:num>
  <w:num w:numId="3" w16cid:durableId="45491678">
    <w:abstractNumId w:val="7"/>
  </w:num>
  <w:num w:numId="4" w16cid:durableId="2058119421">
    <w:abstractNumId w:val="2"/>
  </w:num>
  <w:num w:numId="5" w16cid:durableId="706373778">
    <w:abstractNumId w:val="8"/>
  </w:num>
  <w:num w:numId="6" w16cid:durableId="1602301932">
    <w:abstractNumId w:val="19"/>
  </w:num>
  <w:num w:numId="7" w16cid:durableId="195042225">
    <w:abstractNumId w:val="0"/>
  </w:num>
  <w:num w:numId="8" w16cid:durableId="2021464226">
    <w:abstractNumId w:val="15"/>
  </w:num>
  <w:num w:numId="9" w16cid:durableId="948120583">
    <w:abstractNumId w:val="30"/>
  </w:num>
  <w:num w:numId="10" w16cid:durableId="549877960">
    <w:abstractNumId w:val="36"/>
  </w:num>
  <w:num w:numId="11" w16cid:durableId="1751386764">
    <w:abstractNumId w:val="34"/>
  </w:num>
  <w:num w:numId="12" w16cid:durableId="1521579869">
    <w:abstractNumId w:val="26"/>
  </w:num>
  <w:num w:numId="13" w16cid:durableId="415440342">
    <w:abstractNumId w:val="14"/>
  </w:num>
  <w:num w:numId="14" w16cid:durableId="1942371759">
    <w:abstractNumId w:val="3"/>
  </w:num>
  <w:num w:numId="15" w16cid:durableId="614211641">
    <w:abstractNumId w:val="6"/>
  </w:num>
  <w:num w:numId="16" w16cid:durableId="936252854">
    <w:abstractNumId w:val="22"/>
  </w:num>
  <w:num w:numId="17" w16cid:durableId="492601298">
    <w:abstractNumId w:val="31"/>
  </w:num>
  <w:num w:numId="18" w16cid:durableId="1831094889">
    <w:abstractNumId w:val="17"/>
  </w:num>
  <w:num w:numId="19" w16cid:durableId="1823159111">
    <w:abstractNumId w:val="1"/>
  </w:num>
  <w:num w:numId="20" w16cid:durableId="1003824726">
    <w:abstractNumId w:val="4"/>
  </w:num>
  <w:num w:numId="21" w16cid:durableId="1602059903">
    <w:abstractNumId w:val="35"/>
  </w:num>
  <w:num w:numId="22" w16cid:durableId="1702389995">
    <w:abstractNumId w:val="5"/>
  </w:num>
  <w:num w:numId="23" w16cid:durableId="115025094">
    <w:abstractNumId w:val="21"/>
  </w:num>
  <w:num w:numId="24" w16cid:durableId="217786820">
    <w:abstractNumId w:val="32"/>
  </w:num>
  <w:num w:numId="25" w16cid:durableId="1771311608">
    <w:abstractNumId w:val="33"/>
  </w:num>
  <w:num w:numId="26" w16cid:durableId="519706987">
    <w:abstractNumId w:val="13"/>
  </w:num>
  <w:num w:numId="27" w16cid:durableId="256210368">
    <w:abstractNumId w:val="25"/>
  </w:num>
  <w:num w:numId="28" w16cid:durableId="613749663">
    <w:abstractNumId w:val="10"/>
  </w:num>
  <w:num w:numId="29" w16cid:durableId="1412312657">
    <w:abstractNumId w:val="9"/>
  </w:num>
  <w:num w:numId="30" w16cid:durableId="2056807502">
    <w:abstractNumId w:val="24"/>
  </w:num>
  <w:num w:numId="31" w16cid:durableId="156501710">
    <w:abstractNumId w:val="11"/>
  </w:num>
  <w:num w:numId="32" w16cid:durableId="1896576359">
    <w:abstractNumId w:val="18"/>
  </w:num>
  <w:num w:numId="33" w16cid:durableId="87359728">
    <w:abstractNumId w:val="16"/>
  </w:num>
  <w:num w:numId="34" w16cid:durableId="1921912552">
    <w:abstractNumId w:val="23"/>
  </w:num>
  <w:num w:numId="35" w16cid:durableId="1512067597">
    <w:abstractNumId w:val="12"/>
  </w:num>
  <w:num w:numId="36" w16cid:durableId="93743448">
    <w:abstractNumId w:val="27"/>
  </w:num>
  <w:num w:numId="37" w16cid:durableId="917598679">
    <w:abstractNumId w:val="37"/>
  </w:num>
  <w:num w:numId="38" w16cid:durableId="49264268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7EwNTc1NrO0tDAyNTZU0lEKTi0uzszPAykwrQUAObsezCwAAAA="/>
  </w:docVars>
  <w:rsids>
    <w:rsidRoot w:val="002A2EBA"/>
    <w:rsid w:val="00005142"/>
    <w:rsid w:val="00006065"/>
    <w:rsid w:val="00006249"/>
    <w:rsid w:val="00007D8A"/>
    <w:rsid w:val="000113A3"/>
    <w:rsid w:val="000131D8"/>
    <w:rsid w:val="0001437E"/>
    <w:rsid w:val="00015B85"/>
    <w:rsid w:val="00016854"/>
    <w:rsid w:val="00016AE2"/>
    <w:rsid w:val="00023838"/>
    <w:rsid w:val="00030204"/>
    <w:rsid w:val="000304F1"/>
    <w:rsid w:val="00032BA8"/>
    <w:rsid w:val="000332AD"/>
    <w:rsid w:val="000333A9"/>
    <w:rsid w:val="00033483"/>
    <w:rsid w:val="00041645"/>
    <w:rsid w:val="00041CE3"/>
    <w:rsid w:val="00041D46"/>
    <w:rsid w:val="00051FFB"/>
    <w:rsid w:val="0005703D"/>
    <w:rsid w:val="00057148"/>
    <w:rsid w:val="000574E3"/>
    <w:rsid w:val="00063263"/>
    <w:rsid w:val="000636FC"/>
    <w:rsid w:val="0006470E"/>
    <w:rsid w:val="00064C44"/>
    <w:rsid w:val="00064EE6"/>
    <w:rsid w:val="0006786D"/>
    <w:rsid w:val="00070C87"/>
    <w:rsid w:val="0007337A"/>
    <w:rsid w:val="0007602F"/>
    <w:rsid w:val="00076588"/>
    <w:rsid w:val="00082374"/>
    <w:rsid w:val="00085575"/>
    <w:rsid w:val="00085BAF"/>
    <w:rsid w:val="0009188C"/>
    <w:rsid w:val="00091A23"/>
    <w:rsid w:val="00095572"/>
    <w:rsid w:val="00095D6D"/>
    <w:rsid w:val="0009667B"/>
    <w:rsid w:val="000A02A2"/>
    <w:rsid w:val="000A0E09"/>
    <w:rsid w:val="000A10A6"/>
    <w:rsid w:val="000A1C13"/>
    <w:rsid w:val="000A332E"/>
    <w:rsid w:val="000A5228"/>
    <w:rsid w:val="000A6277"/>
    <w:rsid w:val="000B1D5F"/>
    <w:rsid w:val="000B30AA"/>
    <w:rsid w:val="000B5F15"/>
    <w:rsid w:val="000B6E77"/>
    <w:rsid w:val="000C57FB"/>
    <w:rsid w:val="000D16B9"/>
    <w:rsid w:val="000D39EF"/>
    <w:rsid w:val="000D6D72"/>
    <w:rsid w:val="000D782F"/>
    <w:rsid w:val="000E1B9A"/>
    <w:rsid w:val="000E1D15"/>
    <w:rsid w:val="000E37CD"/>
    <w:rsid w:val="000E42F3"/>
    <w:rsid w:val="000E476F"/>
    <w:rsid w:val="000E4DE8"/>
    <w:rsid w:val="000F04DD"/>
    <w:rsid w:val="000F36BF"/>
    <w:rsid w:val="000F57EB"/>
    <w:rsid w:val="000F7582"/>
    <w:rsid w:val="00101099"/>
    <w:rsid w:val="001020B6"/>
    <w:rsid w:val="00103915"/>
    <w:rsid w:val="00103A13"/>
    <w:rsid w:val="00107180"/>
    <w:rsid w:val="001169C8"/>
    <w:rsid w:val="001173A5"/>
    <w:rsid w:val="00121FAC"/>
    <w:rsid w:val="00124434"/>
    <w:rsid w:val="00125367"/>
    <w:rsid w:val="00125FAF"/>
    <w:rsid w:val="00127C17"/>
    <w:rsid w:val="0013172E"/>
    <w:rsid w:val="00134055"/>
    <w:rsid w:val="00144DC0"/>
    <w:rsid w:val="0014529D"/>
    <w:rsid w:val="00150070"/>
    <w:rsid w:val="00150717"/>
    <w:rsid w:val="00151B3E"/>
    <w:rsid w:val="00153001"/>
    <w:rsid w:val="001544D7"/>
    <w:rsid w:val="00161BE5"/>
    <w:rsid w:val="0016636E"/>
    <w:rsid w:val="001678AF"/>
    <w:rsid w:val="00172708"/>
    <w:rsid w:val="00174400"/>
    <w:rsid w:val="00176DE1"/>
    <w:rsid w:val="00181F2E"/>
    <w:rsid w:val="00183F18"/>
    <w:rsid w:val="00185BA8"/>
    <w:rsid w:val="00185C6D"/>
    <w:rsid w:val="0019272B"/>
    <w:rsid w:val="001955AD"/>
    <w:rsid w:val="001A43D1"/>
    <w:rsid w:val="001A6A04"/>
    <w:rsid w:val="001A6EEF"/>
    <w:rsid w:val="001B3968"/>
    <w:rsid w:val="001B3F6A"/>
    <w:rsid w:val="001B6789"/>
    <w:rsid w:val="001C116F"/>
    <w:rsid w:val="001C14A1"/>
    <w:rsid w:val="001C1EC2"/>
    <w:rsid w:val="001C3988"/>
    <w:rsid w:val="001C7829"/>
    <w:rsid w:val="001D0B1F"/>
    <w:rsid w:val="001D50FE"/>
    <w:rsid w:val="001D5DFB"/>
    <w:rsid w:val="001E0464"/>
    <w:rsid w:val="001E1EF8"/>
    <w:rsid w:val="001E2D01"/>
    <w:rsid w:val="001E49B2"/>
    <w:rsid w:val="001E61D9"/>
    <w:rsid w:val="001E64D8"/>
    <w:rsid w:val="001E7DA0"/>
    <w:rsid w:val="001F1DEC"/>
    <w:rsid w:val="001F2380"/>
    <w:rsid w:val="002065C4"/>
    <w:rsid w:val="00212C1C"/>
    <w:rsid w:val="00217376"/>
    <w:rsid w:val="002210BA"/>
    <w:rsid w:val="00221D83"/>
    <w:rsid w:val="00223624"/>
    <w:rsid w:val="00223CA6"/>
    <w:rsid w:val="0022558D"/>
    <w:rsid w:val="00227906"/>
    <w:rsid w:val="002330E5"/>
    <w:rsid w:val="0023640F"/>
    <w:rsid w:val="00236F8D"/>
    <w:rsid w:val="00240B0C"/>
    <w:rsid w:val="00241786"/>
    <w:rsid w:val="00242451"/>
    <w:rsid w:val="00244783"/>
    <w:rsid w:val="0024697F"/>
    <w:rsid w:val="00246A7F"/>
    <w:rsid w:val="00247871"/>
    <w:rsid w:val="00250C87"/>
    <w:rsid w:val="002538E5"/>
    <w:rsid w:val="00254C8B"/>
    <w:rsid w:val="00261729"/>
    <w:rsid w:val="002653C7"/>
    <w:rsid w:val="0026796F"/>
    <w:rsid w:val="0027100E"/>
    <w:rsid w:val="0027487D"/>
    <w:rsid w:val="00276436"/>
    <w:rsid w:val="00276A4E"/>
    <w:rsid w:val="00280483"/>
    <w:rsid w:val="002806C1"/>
    <w:rsid w:val="00284139"/>
    <w:rsid w:val="0029100D"/>
    <w:rsid w:val="00296088"/>
    <w:rsid w:val="00296A7A"/>
    <w:rsid w:val="002977C9"/>
    <w:rsid w:val="002A2EBA"/>
    <w:rsid w:val="002A5D89"/>
    <w:rsid w:val="002A6800"/>
    <w:rsid w:val="002B0338"/>
    <w:rsid w:val="002B2D13"/>
    <w:rsid w:val="002B302C"/>
    <w:rsid w:val="002B5CF7"/>
    <w:rsid w:val="002C0C5E"/>
    <w:rsid w:val="002C5C6A"/>
    <w:rsid w:val="002C5EB2"/>
    <w:rsid w:val="002D00EA"/>
    <w:rsid w:val="002D2DFA"/>
    <w:rsid w:val="002E06C4"/>
    <w:rsid w:val="002E16FE"/>
    <w:rsid w:val="002E1AC6"/>
    <w:rsid w:val="002E1F55"/>
    <w:rsid w:val="002E6592"/>
    <w:rsid w:val="002E763A"/>
    <w:rsid w:val="002F4C4B"/>
    <w:rsid w:val="00301CC0"/>
    <w:rsid w:val="00303E70"/>
    <w:rsid w:val="00304977"/>
    <w:rsid w:val="00304F98"/>
    <w:rsid w:val="00313AA1"/>
    <w:rsid w:val="00314F67"/>
    <w:rsid w:val="003224AD"/>
    <w:rsid w:val="00322B53"/>
    <w:rsid w:val="003241E0"/>
    <w:rsid w:val="00330B35"/>
    <w:rsid w:val="00331113"/>
    <w:rsid w:val="00332B61"/>
    <w:rsid w:val="00333869"/>
    <w:rsid w:val="003347D6"/>
    <w:rsid w:val="00335341"/>
    <w:rsid w:val="00356E81"/>
    <w:rsid w:val="00375278"/>
    <w:rsid w:val="00376DAE"/>
    <w:rsid w:val="00377359"/>
    <w:rsid w:val="003908C7"/>
    <w:rsid w:val="003930AD"/>
    <w:rsid w:val="00393247"/>
    <w:rsid w:val="003957AA"/>
    <w:rsid w:val="00395A78"/>
    <w:rsid w:val="00395CDB"/>
    <w:rsid w:val="003A05B3"/>
    <w:rsid w:val="003A5308"/>
    <w:rsid w:val="003B74FB"/>
    <w:rsid w:val="003B77EA"/>
    <w:rsid w:val="003C16AC"/>
    <w:rsid w:val="003D1629"/>
    <w:rsid w:val="003D3D96"/>
    <w:rsid w:val="003D6189"/>
    <w:rsid w:val="003E01CA"/>
    <w:rsid w:val="003E284C"/>
    <w:rsid w:val="003E3A56"/>
    <w:rsid w:val="003E40C0"/>
    <w:rsid w:val="003E50FB"/>
    <w:rsid w:val="003F2DB1"/>
    <w:rsid w:val="003F4B25"/>
    <w:rsid w:val="003F7B40"/>
    <w:rsid w:val="003F7F11"/>
    <w:rsid w:val="00401064"/>
    <w:rsid w:val="00402A04"/>
    <w:rsid w:val="004115FB"/>
    <w:rsid w:val="00412550"/>
    <w:rsid w:val="004127E0"/>
    <w:rsid w:val="004128FB"/>
    <w:rsid w:val="00412D0B"/>
    <w:rsid w:val="00413E20"/>
    <w:rsid w:val="00416933"/>
    <w:rsid w:val="00425584"/>
    <w:rsid w:val="0042617E"/>
    <w:rsid w:val="00432EA3"/>
    <w:rsid w:val="00434B95"/>
    <w:rsid w:val="00437273"/>
    <w:rsid w:val="004407A9"/>
    <w:rsid w:val="0044384C"/>
    <w:rsid w:val="00444468"/>
    <w:rsid w:val="00445562"/>
    <w:rsid w:val="00451B83"/>
    <w:rsid w:val="00451C88"/>
    <w:rsid w:val="00454DF6"/>
    <w:rsid w:val="00462934"/>
    <w:rsid w:val="004722D3"/>
    <w:rsid w:val="0047375D"/>
    <w:rsid w:val="00474340"/>
    <w:rsid w:val="0047599E"/>
    <w:rsid w:val="00482BCC"/>
    <w:rsid w:val="0048332C"/>
    <w:rsid w:val="0048464F"/>
    <w:rsid w:val="00485914"/>
    <w:rsid w:val="00487362"/>
    <w:rsid w:val="00490A18"/>
    <w:rsid w:val="00494DD2"/>
    <w:rsid w:val="0049632F"/>
    <w:rsid w:val="004A079C"/>
    <w:rsid w:val="004A3041"/>
    <w:rsid w:val="004A3B74"/>
    <w:rsid w:val="004B0B15"/>
    <w:rsid w:val="004B247A"/>
    <w:rsid w:val="004B39E4"/>
    <w:rsid w:val="004B4CF4"/>
    <w:rsid w:val="004C2BE9"/>
    <w:rsid w:val="004D1381"/>
    <w:rsid w:val="004D40D1"/>
    <w:rsid w:val="004E086B"/>
    <w:rsid w:val="004E4F0A"/>
    <w:rsid w:val="004E70AF"/>
    <w:rsid w:val="004E7371"/>
    <w:rsid w:val="004F420C"/>
    <w:rsid w:val="004F71AA"/>
    <w:rsid w:val="004F7CF0"/>
    <w:rsid w:val="004F7E0A"/>
    <w:rsid w:val="00502C52"/>
    <w:rsid w:val="0050343F"/>
    <w:rsid w:val="005038F2"/>
    <w:rsid w:val="00503BD2"/>
    <w:rsid w:val="00505FCD"/>
    <w:rsid w:val="00511DAF"/>
    <w:rsid w:val="00523235"/>
    <w:rsid w:val="00524919"/>
    <w:rsid w:val="00527BA3"/>
    <w:rsid w:val="00531CB3"/>
    <w:rsid w:val="00532271"/>
    <w:rsid w:val="0053351E"/>
    <w:rsid w:val="005351AC"/>
    <w:rsid w:val="0053644A"/>
    <w:rsid w:val="00537F5A"/>
    <w:rsid w:val="00544287"/>
    <w:rsid w:val="005455AF"/>
    <w:rsid w:val="00546BFC"/>
    <w:rsid w:val="00551FB2"/>
    <w:rsid w:val="00552079"/>
    <w:rsid w:val="00554CD6"/>
    <w:rsid w:val="00555BDA"/>
    <w:rsid w:val="00555F21"/>
    <w:rsid w:val="00560161"/>
    <w:rsid w:val="005630A1"/>
    <w:rsid w:val="00563ACE"/>
    <w:rsid w:val="00563CE7"/>
    <w:rsid w:val="0057032A"/>
    <w:rsid w:val="00570BB0"/>
    <w:rsid w:val="00572686"/>
    <w:rsid w:val="00573F62"/>
    <w:rsid w:val="0058121B"/>
    <w:rsid w:val="005864E5"/>
    <w:rsid w:val="00591626"/>
    <w:rsid w:val="0059176D"/>
    <w:rsid w:val="00593734"/>
    <w:rsid w:val="005941FF"/>
    <w:rsid w:val="0059787F"/>
    <w:rsid w:val="005A0B1A"/>
    <w:rsid w:val="005A0B4B"/>
    <w:rsid w:val="005A2416"/>
    <w:rsid w:val="005A4D5C"/>
    <w:rsid w:val="005B05AD"/>
    <w:rsid w:val="005B18D0"/>
    <w:rsid w:val="005C29E3"/>
    <w:rsid w:val="005C7D6C"/>
    <w:rsid w:val="005D2B62"/>
    <w:rsid w:val="005D346F"/>
    <w:rsid w:val="005D638A"/>
    <w:rsid w:val="005D78C4"/>
    <w:rsid w:val="005D7C7B"/>
    <w:rsid w:val="005E624C"/>
    <w:rsid w:val="005F1697"/>
    <w:rsid w:val="005F59AB"/>
    <w:rsid w:val="005F7C06"/>
    <w:rsid w:val="00603282"/>
    <w:rsid w:val="00605C6C"/>
    <w:rsid w:val="00605CA7"/>
    <w:rsid w:val="0060665C"/>
    <w:rsid w:val="00607F54"/>
    <w:rsid w:val="0061009B"/>
    <w:rsid w:val="00610EB0"/>
    <w:rsid w:val="00611E66"/>
    <w:rsid w:val="006137BA"/>
    <w:rsid w:val="00613DBD"/>
    <w:rsid w:val="006167E8"/>
    <w:rsid w:val="00620B73"/>
    <w:rsid w:val="00624505"/>
    <w:rsid w:val="0062457A"/>
    <w:rsid w:val="00630063"/>
    <w:rsid w:val="00642C31"/>
    <w:rsid w:val="0064413F"/>
    <w:rsid w:val="00644378"/>
    <w:rsid w:val="00650756"/>
    <w:rsid w:val="00653ED5"/>
    <w:rsid w:val="006543F3"/>
    <w:rsid w:val="006613F7"/>
    <w:rsid w:val="00662098"/>
    <w:rsid w:val="00662E23"/>
    <w:rsid w:val="00663013"/>
    <w:rsid w:val="00665135"/>
    <w:rsid w:val="00674462"/>
    <w:rsid w:val="00675735"/>
    <w:rsid w:val="00675FC1"/>
    <w:rsid w:val="0067707E"/>
    <w:rsid w:val="006855A9"/>
    <w:rsid w:val="006915EF"/>
    <w:rsid w:val="00693B8E"/>
    <w:rsid w:val="00694D94"/>
    <w:rsid w:val="00695609"/>
    <w:rsid w:val="00695B08"/>
    <w:rsid w:val="006965BE"/>
    <w:rsid w:val="006A09E8"/>
    <w:rsid w:val="006A5E9F"/>
    <w:rsid w:val="006A68A0"/>
    <w:rsid w:val="006B288A"/>
    <w:rsid w:val="006B5A29"/>
    <w:rsid w:val="006B5EB7"/>
    <w:rsid w:val="006C0272"/>
    <w:rsid w:val="006C0917"/>
    <w:rsid w:val="006C38E7"/>
    <w:rsid w:val="006C5702"/>
    <w:rsid w:val="006D0897"/>
    <w:rsid w:val="006D4052"/>
    <w:rsid w:val="006D6320"/>
    <w:rsid w:val="006D65BA"/>
    <w:rsid w:val="006D721F"/>
    <w:rsid w:val="006D7D63"/>
    <w:rsid w:val="006D7E62"/>
    <w:rsid w:val="006E3850"/>
    <w:rsid w:val="006E55CE"/>
    <w:rsid w:val="006F2072"/>
    <w:rsid w:val="006F3D32"/>
    <w:rsid w:val="006F6498"/>
    <w:rsid w:val="006F74D3"/>
    <w:rsid w:val="007034A0"/>
    <w:rsid w:val="00703548"/>
    <w:rsid w:val="0070670C"/>
    <w:rsid w:val="00706AF8"/>
    <w:rsid w:val="00706E7D"/>
    <w:rsid w:val="007118D4"/>
    <w:rsid w:val="00713062"/>
    <w:rsid w:val="00721EF7"/>
    <w:rsid w:val="00723962"/>
    <w:rsid w:val="00725C7C"/>
    <w:rsid w:val="00727764"/>
    <w:rsid w:val="00727FE3"/>
    <w:rsid w:val="00730961"/>
    <w:rsid w:val="00734BB7"/>
    <w:rsid w:val="00735238"/>
    <w:rsid w:val="00744125"/>
    <w:rsid w:val="00745F1A"/>
    <w:rsid w:val="007508F6"/>
    <w:rsid w:val="00753B25"/>
    <w:rsid w:val="00753CD9"/>
    <w:rsid w:val="00754272"/>
    <w:rsid w:val="00754477"/>
    <w:rsid w:val="00754536"/>
    <w:rsid w:val="00754B14"/>
    <w:rsid w:val="007653B6"/>
    <w:rsid w:val="00774326"/>
    <w:rsid w:val="00781420"/>
    <w:rsid w:val="00794B3C"/>
    <w:rsid w:val="00794E71"/>
    <w:rsid w:val="007A0064"/>
    <w:rsid w:val="007A4908"/>
    <w:rsid w:val="007A7807"/>
    <w:rsid w:val="007A7F34"/>
    <w:rsid w:val="007B70FA"/>
    <w:rsid w:val="007C278F"/>
    <w:rsid w:val="007C2B43"/>
    <w:rsid w:val="007D42E0"/>
    <w:rsid w:val="007D553B"/>
    <w:rsid w:val="007E0443"/>
    <w:rsid w:val="007E1185"/>
    <w:rsid w:val="007E3E50"/>
    <w:rsid w:val="007E69AC"/>
    <w:rsid w:val="007E6E02"/>
    <w:rsid w:val="00801597"/>
    <w:rsid w:val="008025AD"/>
    <w:rsid w:val="008031B3"/>
    <w:rsid w:val="00803FF9"/>
    <w:rsid w:val="00810145"/>
    <w:rsid w:val="008107D5"/>
    <w:rsid w:val="0081576F"/>
    <w:rsid w:val="008170E6"/>
    <w:rsid w:val="008217F1"/>
    <w:rsid w:val="008222F2"/>
    <w:rsid w:val="00822688"/>
    <w:rsid w:val="00824221"/>
    <w:rsid w:val="00824FA6"/>
    <w:rsid w:val="00825494"/>
    <w:rsid w:val="008264E8"/>
    <w:rsid w:val="00830757"/>
    <w:rsid w:val="00836D65"/>
    <w:rsid w:val="00842121"/>
    <w:rsid w:val="0084230D"/>
    <w:rsid w:val="00843A1E"/>
    <w:rsid w:val="00844294"/>
    <w:rsid w:val="00845153"/>
    <w:rsid w:val="00855630"/>
    <w:rsid w:val="008573DF"/>
    <w:rsid w:val="00862757"/>
    <w:rsid w:val="00864887"/>
    <w:rsid w:val="00870551"/>
    <w:rsid w:val="00872BC4"/>
    <w:rsid w:val="008756BB"/>
    <w:rsid w:val="00882A75"/>
    <w:rsid w:val="00884BA2"/>
    <w:rsid w:val="00884C3F"/>
    <w:rsid w:val="00886039"/>
    <w:rsid w:val="00887EE1"/>
    <w:rsid w:val="00892504"/>
    <w:rsid w:val="00894039"/>
    <w:rsid w:val="008A4DC5"/>
    <w:rsid w:val="008B0A34"/>
    <w:rsid w:val="008B3CC4"/>
    <w:rsid w:val="008B5629"/>
    <w:rsid w:val="008B5B29"/>
    <w:rsid w:val="008C4EE7"/>
    <w:rsid w:val="008D72FB"/>
    <w:rsid w:val="008E216D"/>
    <w:rsid w:val="008E5492"/>
    <w:rsid w:val="008F33F6"/>
    <w:rsid w:val="008F3DCF"/>
    <w:rsid w:val="008F5660"/>
    <w:rsid w:val="00902C68"/>
    <w:rsid w:val="00906A53"/>
    <w:rsid w:val="0091057E"/>
    <w:rsid w:val="009112E5"/>
    <w:rsid w:val="009127B4"/>
    <w:rsid w:val="00920A7F"/>
    <w:rsid w:val="0092116C"/>
    <w:rsid w:val="009231D7"/>
    <w:rsid w:val="00923452"/>
    <w:rsid w:val="00923DD9"/>
    <w:rsid w:val="00923E98"/>
    <w:rsid w:val="00926E9D"/>
    <w:rsid w:val="00932E1B"/>
    <w:rsid w:val="009338BA"/>
    <w:rsid w:val="00940C43"/>
    <w:rsid w:val="00940CE6"/>
    <w:rsid w:val="00943593"/>
    <w:rsid w:val="00943695"/>
    <w:rsid w:val="009477A2"/>
    <w:rsid w:val="00947B6B"/>
    <w:rsid w:val="00950663"/>
    <w:rsid w:val="009525F7"/>
    <w:rsid w:val="009615E6"/>
    <w:rsid w:val="009644AC"/>
    <w:rsid w:val="009670D1"/>
    <w:rsid w:val="009711D6"/>
    <w:rsid w:val="00974C0F"/>
    <w:rsid w:val="00974FD4"/>
    <w:rsid w:val="009768B0"/>
    <w:rsid w:val="00977169"/>
    <w:rsid w:val="00980757"/>
    <w:rsid w:val="0098254C"/>
    <w:rsid w:val="00985E64"/>
    <w:rsid w:val="00985F91"/>
    <w:rsid w:val="00986993"/>
    <w:rsid w:val="00990864"/>
    <w:rsid w:val="009951FD"/>
    <w:rsid w:val="00995359"/>
    <w:rsid w:val="009961FA"/>
    <w:rsid w:val="009A159D"/>
    <w:rsid w:val="009A39A6"/>
    <w:rsid w:val="009A6689"/>
    <w:rsid w:val="009A77C3"/>
    <w:rsid w:val="009B059F"/>
    <w:rsid w:val="009B1F85"/>
    <w:rsid w:val="009B26C3"/>
    <w:rsid w:val="009B41C9"/>
    <w:rsid w:val="009B4AF5"/>
    <w:rsid w:val="009B5129"/>
    <w:rsid w:val="009B67DA"/>
    <w:rsid w:val="009C1BC3"/>
    <w:rsid w:val="009C1D1F"/>
    <w:rsid w:val="009C2B56"/>
    <w:rsid w:val="009C53D0"/>
    <w:rsid w:val="009D6CCE"/>
    <w:rsid w:val="009E04C4"/>
    <w:rsid w:val="009E29D9"/>
    <w:rsid w:val="009F0901"/>
    <w:rsid w:val="009F39C5"/>
    <w:rsid w:val="009F4272"/>
    <w:rsid w:val="009F7C8E"/>
    <w:rsid w:val="00A02B76"/>
    <w:rsid w:val="00A04892"/>
    <w:rsid w:val="00A065F3"/>
    <w:rsid w:val="00A13D67"/>
    <w:rsid w:val="00A14D22"/>
    <w:rsid w:val="00A154ED"/>
    <w:rsid w:val="00A250C3"/>
    <w:rsid w:val="00A27D2E"/>
    <w:rsid w:val="00A51858"/>
    <w:rsid w:val="00A54AC0"/>
    <w:rsid w:val="00A55AB6"/>
    <w:rsid w:val="00A57529"/>
    <w:rsid w:val="00A605C1"/>
    <w:rsid w:val="00A6322D"/>
    <w:rsid w:val="00A646B8"/>
    <w:rsid w:val="00A66C93"/>
    <w:rsid w:val="00A721B8"/>
    <w:rsid w:val="00A807DC"/>
    <w:rsid w:val="00A820DE"/>
    <w:rsid w:val="00A852C5"/>
    <w:rsid w:val="00A928E6"/>
    <w:rsid w:val="00A93EB7"/>
    <w:rsid w:val="00AA0480"/>
    <w:rsid w:val="00AA0D9E"/>
    <w:rsid w:val="00AA428B"/>
    <w:rsid w:val="00AA4DF8"/>
    <w:rsid w:val="00AB4437"/>
    <w:rsid w:val="00AB4D60"/>
    <w:rsid w:val="00AB58AB"/>
    <w:rsid w:val="00AB6A93"/>
    <w:rsid w:val="00AB72FA"/>
    <w:rsid w:val="00AC349B"/>
    <w:rsid w:val="00AC34FF"/>
    <w:rsid w:val="00AC3D0E"/>
    <w:rsid w:val="00AD178E"/>
    <w:rsid w:val="00AD44F8"/>
    <w:rsid w:val="00AD54E0"/>
    <w:rsid w:val="00AD6935"/>
    <w:rsid w:val="00AF1F60"/>
    <w:rsid w:val="00AF56BE"/>
    <w:rsid w:val="00B04904"/>
    <w:rsid w:val="00B07E78"/>
    <w:rsid w:val="00B113CB"/>
    <w:rsid w:val="00B11A46"/>
    <w:rsid w:val="00B17D73"/>
    <w:rsid w:val="00B24555"/>
    <w:rsid w:val="00B26204"/>
    <w:rsid w:val="00B263DA"/>
    <w:rsid w:val="00B27423"/>
    <w:rsid w:val="00B30312"/>
    <w:rsid w:val="00B31F86"/>
    <w:rsid w:val="00B3713C"/>
    <w:rsid w:val="00B37815"/>
    <w:rsid w:val="00B43F98"/>
    <w:rsid w:val="00B44E55"/>
    <w:rsid w:val="00B45882"/>
    <w:rsid w:val="00B501B2"/>
    <w:rsid w:val="00B51CFD"/>
    <w:rsid w:val="00B55E7D"/>
    <w:rsid w:val="00B60C1E"/>
    <w:rsid w:val="00B61F09"/>
    <w:rsid w:val="00B63E36"/>
    <w:rsid w:val="00B658DF"/>
    <w:rsid w:val="00B72E73"/>
    <w:rsid w:val="00B73D34"/>
    <w:rsid w:val="00B80E3E"/>
    <w:rsid w:val="00B930CE"/>
    <w:rsid w:val="00BA1B5E"/>
    <w:rsid w:val="00BA3CAC"/>
    <w:rsid w:val="00BA52AA"/>
    <w:rsid w:val="00BA59B0"/>
    <w:rsid w:val="00BA6E83"/>
    <w:rsid w:val="00BB2438"/>
    <w:rsid w:val="00BB7B18"/>
    <w:rsid w:val="00BC03AC"/>
    <w:rsid w:val="00BC0B1E"/>
    <w:rsid w:val="00BC0CBA"/>
    <w:rsid w:val="00BC1444"/>
    <w:rsid w:val="00BC442E"/>
    <w:rsid w:val="00BC4F2E"/>
    <w:rsid w:val="00BD345A"/>
    <w:rsid w:val="00BD6D8A"/>
    <w:rsid w:val="00BE757B"/>
    <w:rsid w:val="00BF036B"/>
    <w:rsid w:val="00BF04A9"/>
    <w:rsid w:val="00BF3E19"/>
    <w:rsid w:val="00C018F1"/>
    <w:rsid w:val="00C0341B"/>
    <w:rsid w:val="00C0793C"/>
    <w:rsid w:val="00C11B78"/>
    <w:rsid w:val="00C120D2"/>
    <w:rsid w:val="00C134CF"/>
    <w:rsid w:val="00C15203"/>
    <w:rsid w:val="00C177B1"/>
    <w:rsid w:val="00C22388"/>
    <w:rsid w:val="00C231B1"/>
    <w:rsid w:val="00C309F7"/>
    <w:rsid w:val="00C317F9"/>
    <w:rsid w:val="00C31F61"/>
    <w:rsid w:val="00C3349F"/>
    <w:rsid w:val="00C36824"/>
    <w:rsid w:val="00C4639D"/>
    <w:rsid w:val="00C54AA2"/>
    <w:rsid w:val="00C56DC2"/>
    <w:rsid w:val="00C57451"/>
    <w:rsid w:val="00C7305F"/>
    <w:rsid w:val="00C73F49"/>
    <w:rsid w:val="00C76EA7"/>
    <w:rsid w:val="00C81CE0"/>
    <w:rsid w:val="00C84A00"/>
    <w:rsid w:val="00C91225"/>
    <w:rsid w:val="00C91EE9"/>
    <w:rsid w:val="00C928AA"/>
    <w:rsid w:val="00C95E8F"/>
    <w:rsid w:val="00C965C5"/>
    <w:rsid w:val="00CA54B0"/>
    <w:rsid w:val="00CB03D6"/>
    <w:rsid w:val="00CB34E9"/>
    <w:rsid w:val="00CB5C2E"/>
    <w:rsid w:val="00CB6E92"/>
    <w:rsid w:val="00CC0251"/>
    <w:rsid w:val="00CD24E2"/>
    <w:rsid w:val="00CD572D"/>
    <w:rsid w:val="00CD646F"/>
    <w:rsid w:val="00CD71FC"/>
    <w:rsid w:val="00CD7A61"/>
    <w:rsid w:val="00CE0287"/>
    <w:rsid w:val="00CE252A"/>
    <w:rsid w:val="00CE2CF0"/>
    <w:rsid w:val="00CE4180"/>
    <w:rsid w:val="00CE6C8B"/>
    <w:rsid w:val="00CE7F50"/>
    <w:rsid w:val="00CF0C3D"/>
    <w:rsid w:val="00CF30EA"/>
    <w:rsid w:val="00CF6983"/>
    <w:rsid w:val="00CF70F0"/>
    <w:rsid w:val="00D00607"/>
    <w:rsid w:val="00D01FB4"/>
    <w:rsid w:val="00D04B6E"/>
    <w:rsid w:val="00D064D1"/>
    <w:rsid w:val="00D0657C"/>
    <w:rsid w:val="00D072B2"/>
    <w:rsid w:val="00D07D58"/>
    <w:rsid w:val="00D133FB"/>
    <w:rsid w:val="00D13F77"/>
    <w:rsid w:val="00D1667A"/>
    <w:rsid w:val="00D17AED"/>
    <w:rsid w:val="00D17F4B"/>
    <w:rsid w:val="00D24F46"/>
    <w:rsid w:val="00D432FA"/>
    <w:rsid w:val="00D437B5"/>
    <w:rsid w:val="00D45364"/>
    <w:rsid w:val="00D457D8"/>
    <w:rsid w:val="00D47CBB"/>
    <w:rsid w:val="00D56B1B"/>
    <w:rsid w:val="00D57AEF"/>
    <w:rsid w:val="00D618DC"/>
    <w:rsid w:val="00D61BA9"/>
    <w:rsid w:val="00D61D4F"/>
    <w:rsid w:val="00D66F9E"/>
    <w:rsid w:val="00D70EEB"/>
    <w:rsid w:val="00D76706"/>
    <w:rsid w:val="00D82470"/>
    <w:rsid w:val="00D82BDD"/>
    <w:rsid w:val="00D82FA9"/>
    <w:rsid w:val="00D87C68"/>
    <w:rsid w:val="00D90279"/>
    <w:rsid w:val="00D911A9"/>
    <w:rsid w:val="00D9162B"/>
    <w:rsid w:val="00D9546E"/>
    <w:rsid w:val="00D97E93"/>
    <w:rsid w:val="00DA2296"/>
    <w:rsid w:val="00DA27C0"/>
    <w:rsid w:val="00DA34B4"/>
    <w:rsid w:val="00DB08B6"/>
    <w:rsid w:val="00DB363A"/>
    <w:rsid w:val="00DB4D3C"/>
    <w:rsid w:val="00DB4F92"/>
    <w:rsid w:val="00DB56CF"/>
    <w:rsid w:val="00DB59E9"/>
    <w:rsid w:val="00DB6DA8"/>
    <w:rsid w:val="00DB79C0"/>
    <w:rsid w:val="00DC1E1F"/>
    <w:rsid w:val="00DC24E8"/>
    <w:rsid w:val="00DC409B"/>
    <w:rsid w:val="00DC7AF7"/>
    <w:rsid w:val="00DD3A5A"/>
    <w:rsid w:val="00DD3B64"/>
    <w:rsid w:val="00DD7CFB"/>
    <w:rsid w:val="00DE03D8"/>
    <w:rsid w:val="00DE40C4"/>
    <w:rsid w:val="00DE4A57"/>
    <w:rsid w:val="00DE6157"/>
    <w:rsid w:val="00DF28AC"/>
    <w:rsid w:val="00DF2C2F"/>
    <w:rsid w:val="00DF7740"/>
    <w:rsid w:val="00DF7848"/>
    <w:rsid w:val="00DF78DF"/>
    <w:rsid w:val="00DF7DB8"/>
    <w:rsid w:val="00E00E93"/>
    <w:rsid w:val="00E038EA"/>
    <w:rsid w:val="00E03A10"/>
    <w:rsid w:val="00E06057"/>
    <w:rsid w:val="00E1000F"/>
    <w:rsid w:val="00E10451"/>
    <w:rsid w:val="00E10515"/>
    <w:rsid w:val="00E10C84"/>
    <w:rsid w:val="00E1365F"/>
    <w:rsid w:val="00E13C02"/>
    <w:rsid w:val="00E15004"/>
    <w:rsid w:val="00E235F9"/>
    <w:rsid w:val="00E24433"/>
    <w:rsid w:val="00E256AC"/>
    <w:rsid w:val="00E26BCB"/>
    <w:rsid w:val="00E300B8"/>
    <w:rsid w:val="00E37062"/>
    <w:rsid w:val="00E46800"/>
    <w:rsid w:val="00E46F10"/>
    <w:rsid w:val="00E516EA"/>
    <w:rsid w:val="00E51F9A"/>
    <w:rsid w:val="00E546C0"/>
    <w:rsid w:val="00E55B1E"/>
    <w:rsid w:val="00E57637"/>
    <w:rsid w:val="00E65B82"/>
    <w:rsid w:val="00E65B94"/>
    <w:rsid w:val="00E67754"/>
    <w:rsid w:val="00E678B8"/>
    <w:rsid w:val="00E73E47"/>
    <w:rsid w:val="00EA27DB"/>
    <w:rsid w:val="00EA6E52"/>
    <w:rsid w:val="00EB3C83"/>
    <w:rsid w:val="00EB490D"/>
    <w:rsid w:val="00EB4C79"/>
    <w:rsid w:val="00EB4D1C"/>
    <w:rsid w:val="00EB5C8C"/>
    <w:rsid w:val="00EC1E02"/>
    <w:rsid w:val="00EC3E8C"/>
    <w:rsid w:val="00EC7BFF"/>
    <w:rsid w:val="00ED0493"/>
    <w:rsid w:val="00ED3050"/>
    <w:rsid w:val="00ED4142"/>
    <w:rsid w:val="00ED71F1"/>
    <w:rsid w:val="00EE0141"/>
    <w:rsid w:val="00EE4A8F"/>
    <w:rsid w:val="00EE5380"/>
    <w:rsid w:val="00EF29AA"/>
    <w:rsid w:val="00EF3924"/>
    <w:rsid w:val="00EF5E0B"/>
    <w:rsid w:val="00F0734D"/>
    <w:rsid w:val="00F12783"/>
    <w:rsid w:val="00F146D3"/>
    <w:rsid w:val="00F15A6C"/>
    <w:rsid w:val="00F244CD"/>
    <w:rsid w:val="00F25823"/>
    <w:rsid w:val="00F40D13"/>
    <w:rsid w:val="00F44858"/>
    <w:rsid w:val="00F50852"/>
    <w:rsid w:val="00F50A1D"/>
    <w:rsid w:val="00F523FE"/>
    <w:rsid w:val="00F52EA9"/>
    <w:rsid w:val="00F53585"/>
    <w:rsid w:val="00F55055"/>
    <w:rsid w:val="00F5570B"/>
    <w:rsid w:val="00F55801"/>
    <w:rsid w:val="00F56523"/>
    <w:rsid w:val="00F57741"/>
    <w:rsid w:val="00F60F07"/>
    <w:rsid w:val="00F60FBE"/>
    <w:rsid w:val="00F62164"/>
    <w:rsid w:val="00F738E6"/>
    <w:rsid w:val="00F75C45"/>
    <w:rsid w:val="00F7716E"/>
    <w:rsid w:val="00F839EF"/>
    <w:rsid w:val="00F83A73"/>
    <w:rsid w:val="00F9092A"/>
    <w:rsid w:val="00F96FE6"/>
    <w:rsid w:val="00FA0060"/>
    <w:rsid w:val="00FA408E"/>
    <w:rsid w:val="00FA63F6"/>
    <w:rsid w:val="00FA689C"/>
    <w:rsid w:val="00FA7F6B"/>
    <w:rsid w:val="00FB325A"/>
    <w:rsid w:val="00FB4C1F"/>
    <w:rsid w:val="00FB7D3E"/>
    <w:rsid w:val="00FC1FA1"/>
    <w:rsid w:val="00FC390D"/>
    <w:rsid w:val="00FC727C"/>
    <w:rsid w:val="00FC7FB9"/>
    <w:rsid w:val="00FD07B4"/>
    <w:rsid w:val="00FD3B18"/>
    <w:rsid w:val="00FD5938"/>
    <w:rsid w:val="00FD7849"/>
    <w:rsid w:val="00FE0623"/>
    <w:rsid w:val="00FE4EB1"/>
    <w:rsid w:val="00FE5EE2"/>
    <w:rsid w:val="00FE6084"/>
    <w:rsid w:val="00FE718C"/>
    <w:rsid w:val="00FE7FF4"/>
    <w:rsid w:val="00FF6C30"/>
  </w:rsids>
  <m:mathPr>
    <m:mathFont m:val="Cambria Math"/>
    <m:brkBin m:val="before"/>
    <m:brkBinSub m:val="--"/>
    <m:smallFrac/>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8C8B55"/>
  <w15:docId w15:val="{2789722B-3FB2-4575-B40E-3439EE67F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63DA"/>
  </w:style>
  <w:style w:type="paragraph" w:styleId="Heading1">
    <w:name w:val="heading 1"/>
    <w:basedOn w:val="Normal"/>
    <w:link w:val="Heading1Char"/>
    <w:uiPriority w:val="9"/>
    <w:qFormat/>
    <w:rsid w:val="0062457A"/>
    <w:pPr>
      <w:widowControl w:val="0"/>
      <w:autoSpaceDE w:val="0"/>
      <w:autoSpaceDN w:val="0"/>
      <w:spacing w:after="0" w:line="240" w:lineRule="auto"/>
      <w:ind w:left="106"/>
      <w:outlineLvl w:val="0"/>
    </w:pPr>
    <w:rPr>
      <w:rFonts w:ascii="Trebuchet MS" w:eastAsia="Trebuchet MS" w:hAnsi="Trebuchet MS" w:cs="Trebuchet MS"/>
      <w:sz w:val="21"/>
      <w:szCs w:val="21"/>
    </w:rPr>
  </w:style>
  <w:style w:type="paragraph" w:styleId="Heading2">
    <w:name w:val="heading 2"/>
    <w:basedOn w:val="Normal"/>
    <w:next w:val="Normal"/>
    <w:link w:val="Heading2Char"/>
    <w:uiPriority w:val="9"/>
    <w:unhideWhenUsed/>
    <w:qFormat/>
    <w:rsid w:val="0082268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923452"/>
    <w:pPr>
      <w:keepNext/>
      <w:keepLines/>
      <w:spacing w:before="160" w:beforeAutospacing="1" w:after="80" w:afterAutospacing="1" w:line="240" w:lineRule="auto"/>
      <w:jc w:val="both"/>
      <w:outlineLvl w:val="2"/>
    </w:pPr>
    <w:rPr>
      <w:rFonts w:eastAsiaTheme="majorEastAsia" w:cstheme="majorBidi"/>
      <w:color w:val="2F5496" w:themeColor="accent1" w:themeShade="BF"/>
      <w:kern w:val="2"/>
      <w:sz w:val="28"/>
      <w:szCs w:val="28"/>
      <w:lang w:val="en-IN"/>
    </w:rPr>
  </w:style>
  <w:style w:type="paragraph" w:styleId="Heading4">
    <w:name w:val="heading 4"/>
    <w:basedOn w:val="Normal"/>
    <w:next w:val="Normal"/>
    <w:link w:val="Heading4Char"/>
    <w:uiPriority w:val="9"/>
    <w:semiHidden/>
    <w:unhideWhenUsed/>
    <w:qFormat/>
    <w:rsid w:val="00923452"/>
    <w:pPr>
      <w:keepNext/>
      <w:keepLines/>
      <w:spacing w:before="80" w:beforeAutospacing="1" w:after="40" w:afterAutospacing="1" w:line="240" w:lineRule="auto"/>
      <w:jc w:val="both"/>
      <w:outlineLvl w:val="3"/>
    </w:pPr>
    <w:rPr>
      <w:rFonts w:eastAsiaTheme="majorEastAsia" w:cstheme="majorBidi"/>
      <w:i/>
      <w:iCs/>
      <w:color w:val="2F5496" w:themeColor="accent1" w:themeShade="BF"/>
      <w:kern w:val="2"/>
      <w:lang w:val="en-IN"/>
    </w:rPr>
  </w:style>
  <w:style w:type="paragraph" w:styleId="Heading5">
    <w:name w:val="heading 5"/>
    <w:basedOn w:val="Normal"/>
    <w:next w:val="Normal"/>
    <w:link w:val="Heading5Char"/>
    <w:uiPriority w:val="9"/>
    <w:semiHidden/>
    <w:unhideWhenUsed/>
    <w:qFormat/>
    <w:rsid w:val="00974FD4"/>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D432FA"/>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923452"/>
    <w:pPr>
      <w:keepNext/>
      <w:keepLines/>
      <w:spacing w:before="40" w:beforeAutospacing="1" w:after="0" w:afterAutospacing="1" w:line="240" w:lineRule="auto"/>
      <w:jc w:val="both"/>
      <w:outlineLvl w:val="6"/>
    </w:pPr>
    <w:rPr>
      <w:rFonts w:eastAsiaTheme="majorEastAsia" w:cstheme="majorBidi"/>
      <w:color w:val="595959" w:themeColor="text1" w:themeTint="A6"/>
      <w:kern w:val="2"/>
      <w:lang w:val="en-IN"/>
    </w:rPr>
  </w:style>
  <w:style w:type="paragraph" w:styleId="Heading8">
    <w:name w:val="heading 8"/>
    <w:basedOn w:val="Normal"/>
    <w:next w:val="Normal"/>
    <w:link w:val="Heading8Char"/>
    <w:uiPriority w:val="9"/>
    <w:semiHidden/>
    <w:unhideWhenUsed/>
    <w:qFormat/>
    <w:rsid w:val="00923452"/>
    <w:pPr>
      <w:keepNext/>
      <w:keepLines/>
      <w:spacing w:beforeAutospacing="1" w:after="0" w:afterAutospacing="1" w:line="240" w:lineRule="auto"/>
      <w:jc w:val="both"/>
      <w:outlineLvl w:val="7"/>
    </w:pPr>
    <w:rPr>
      <w:rFonts w:eastAsiaTheme="majorEastAsia" w:cstheme="majorBidi"/>
      <w:i/>
      <w:iCs/>
      <w:color w:val="272727" w:themeColor="text1" w:themeTint="D8"/>
      <w:kern w:val="2"/>
      <w:lang w:val="en-IN"/>
    </w:rPr>
  </w:style>
  <w:style w:type="paragraph" w:styleId="Heading9">
    <w:name w:val="heading 9"/>
    <w:basedOn w:val="Normal"/>
    <w:next w:val="Normal"/>
    <w:link w:val="Heading9Char"/>
    <w:uiPriority w:val="9"/>
    <w:semiHidden/>
    <w:unhideWhenUsed/>
    <w:qFormat/>
    <w:rsid w:val="00923452"/>
    <w:pPr>
      <w:keepNext/>
      <w:keepLines/>
      <w:spacing w:beforeAutospacing="1" w:after="0" w:afterAutospacing="1" w:line="240" w:lineRule="auto"/>
      <w:jc w:val="both"/>
      <w:outlineLvl w:val="8"/>
    </w:pPr>
    <w:rPr>
      <w:rFonts w:eastAsiaTheme="majorEastAsia" w:cstheme="majorBidi"/>
      <w:color w:val="272727" w:themeColor="text1" w:themeTint="D8"/>
      <w:kern w:val="2"/>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B4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9B41C9"/>
    <w:rPr>
      <w:color w:val="0563C1" w:themeColor="hyperlink"/>
      <w:u w:val="single"/>
    </w:rPr>
  </w:style>
  <w:style w:type="character" w:customStyle="1" w:styleId="Heading1Char">
    <w:name w:val="Heading 1 Char"/>
    <w:basedOn w:val="DefaultParagraphFont"/>
    <w:link w:val="Heading1"/>
    <w:uiPriority w:val="9"/>
    <w:rsid w:val="0062457A"/>
    <w:rPr>
      <w:rFonts w:ascii="Trebuchet MS" w:eastAsia="Trebuchet MS" w:hAnsi="Trebuchet MS" w:cs="Trebuchet MS"/>
      <w:sz w:val="21"/>
      <w:szCs w:val="21"/>
    </w:rPr>
  </w:style>
  <w:style w:type="paragraph" w:styleId="BodyText">
    <w:name w:val="Body Text"/>
    <w:basedOn w:val="Normal"/>
    <w:link w:val="BodyTextChar"/>
    <w:uiPriority w:val="1"/>
    <w:qFormat/>
    <w:rsid w:val="00502C52"/>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502C52"/>
    <w:rPr>
      <w:rFonts w:ascii="Times New Roman" w:eastAsia="Times New Roman" w:hAnsi="Times New Roman" w:cs="Times New Roman"/>
      <w:sz w:val="20"/>
      <w:szCs w:val="20"/>
    </w:rPr>
  </w:style>
  <w:style w:type="paragraph" w:styleId="ListParagraph">
    <w:name w:val="List Paragraph"/>
    <w:basedOn w:val="Normal"/>
    <w:uiPriority w:val="34"/>
    <w:qFormat/>
    <w:rsid w:val="00502C52"/>
    <w:pPr>
      <w:widowControl w:val="0"/>
      <w:autoSpaceDE w:val="0"/>
      <w:autoSpaceDN w:val="0"/>
      <w:spacing w:after="0" w:line="240" w:lineRule="auto"/>
      <w:ind w:left="734" w:hanging="525"/>
      <w:jc w:val="both"/>
    </w:pPr>
    <w:rPr>
      <w:rFonts w:ascii="Times New Roman" w:eastAsia="Times New Roman" w:hAnsi="Times New Roman" w:cs="Times New Roman"/>
    </w:rPr>
  </w:style>
  <w:style w:type="character" w:styleId="PlaceholderText">
    <w:name w:val="Placeholder Text"/>
    <w:basedOn w:val="DefaultParagraphFont"/>
    <w:uiPriority w:val="99"/>
    <w:semiHidden/>
    <w:rsid w:val="00BC1444"/>
    <w:rPr>
      <w:color w:val="808080"/>
    </w:rPr>
  </w:style>
  <w:style w:type="paragraph" w:styleId="Caption">
    <w:name w:val="caption"/>
    <w:basedOn w:val="Normal"/>
    <w:next w:val="Normal"/>
    <w:uiPriority w:val="35"/>
    <w:unhideWhenUsed/>
    <w:qFormat/>
    <w:rsid w:val="00551FB2"/>
    <w:pPr>
      <w:spacing w:after="200" w:line="240" w:lineRule="auto"/>
    </w:pPr>
    <w:rPr>
      <w:i/>
      <w:iCs/>
      <w:color w:val="44546A" w:themeColor="text2"/>
      <w:sz w:val="18"/>
      <w:szCs w:val="18"/>
    </w:rPr>
  </w:style>
  <w:style w:type="table" w:customStyle="1" w:styleId="TableGrid0">
    <w:name w:val="TableGrid"/>
    <w:qFormat/>
    <w:rsid w:val="0016636E"/>
    <w:pPr>
      <w:spacing w:after="0" w:line="240" w:lineRule="auto"/>
    </w:pPr>
    <w:rPr>
      <w:rFonts w:eastAsiaTheme="minorEastAsia"/>
      <w:sz w:val="20"/>
      <w:szCs w:val="20"/>
      <w:lang w:val="en-IN" w:eastAsia="en-IN"/>
    </w:rPr>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9615E6"/>
    <w:rPr>
      <w:color w:val="605E5C"/>
      <w:shd w:val="clear" w:color="auto" w:fill="E1DFDD"/>
    </w:rPr>
  </w:style>
  <w:style w:type="table" w:customStyle="1" w:styleId="TableGrid1">
    <w:name w:val="Table Grid1"/>
    <w:basedOn w:val="TableNormal"/>
    <w:next w:val="TableGrid"/>
    <w:uiPriority w:val="39"/>
    <w:rsid w:val="00250C87"/>
    <w:pPr>
      <w:spacing w:after="0" w:line="240" w:lineRule="auto"/>
    </w:pPr>
    <w:rPr>
      <w:szCs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31CB3"/>
    <w:pPr>
      <w:spacing w:after="0" w:line="240" w:lineRule="auto"/>
    </w:pPr>
    <w:rPr>
      <w:szCs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531CB3"/>
    <w:pPr>
      <w:spacing w:after="0" w:line="240" w:lineRule="auto"/>
    </w:pPr>
    <w:rPr>
      <w:szCs w:val="20"/>
      <w:lang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6A53"/>
    <w:pPr>
      <w:autoSpaceDE w:val="0"/>
      <w:autoSpaceDN w:val="0"/>
      <w:adjustRightInd w:val="0"/>
      <w:spacing w:after="0" w:line="240" w:lineRule="auto"/>
    </w:pPr>
    <w:rPr>
      <w:rFonts w:ascii="Times New Roman" w:eastAsiaTheme="minorEastAsia" w:hAnsi="Times New Roman" w:cs="Times New Roman"/>
      <w:color w:val="000000"/>
      <w:sz w:val="24"/>
      <w:szCs w:val="24"/>
      <w:lang w:eastAsia="zh-CN"/>
    </w:rPr>
  </w:style>
  <w:style w:type="table" w:customStyle="1" w:styleId="GridTable31">
    <w:name w:val="Grid Table 31"/>
    <w:basedOn w:val="TableNormal"/>
    <w:uiPriority w:val="48"/>
    <w:rsid w:val="002C5C6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GridTable3-Accent31">
    <w:name w:val="Grid Table 3 - Accent 31"/>
    <w:basedOn w:val="TableNormal"/>
    <w:uiPriority w:val="48"/>
    <w:rsid w:val="002C5C6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character" w:styleId="FollowedHyperlink">
    <w:name w:val="FollowedHyperlink"/>
    <w:basedOn w:val="DefaultParagraphFont"/>
    <w:uiPriority w:val="99"/>
    <w:semiHidden/>
    <w:unhideWhenUsed/>
    <w:rsid w:val="00754536"/>
    <w:rPr>
      <w:color w:val="954F72" w:themeColor="followedHyperlink"/>
      <w:u w:val="single"/>
    </w:rPr>
  </w:style>
  <w:style w:type="character" w:customStyle="1" w:styleId="Heading2Char">
    <w:name w:val="Heading 2 Char"/>
    <w:basedOn w:val="DefaultParagraphFont"/>
    <w:link w:val="Heading2"/>
    <w:uiPriority w:val="9"/>
    <w:rsid w:val="00822688"/>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794E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4E71"/>
  </w:style>
  <w:style w:type="paragraph" w:styleId="Footer">
    <w:name w:val="footer"/>
    <w:basedOn w:val="Normal"/>
    <w:link w:val="FooterChar"/>
    <w:uiPriority w:val="99"/>
    <w:unhideWhenUsed/>
    <w:rsid w:val="00794E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4E71"/>
  </w:style>
  <w:style w:type="character" w:customStyle="1" w:styleId="Heading5Char">
    <w:name w:val="Heading 5 Char"/>
    <w:basedOn w:val="DefaultParagraphFont"/>
    <w:link w:val="Heading5"/>
    <w:uiPriority w:val="9"/>
    <w:semiHidden/>
    <w:rsid w:val="00974FD4"/>
    <w:rPr>
      <w:rFonts w:asciiTheme="majorHAnsi" w:eastAsiaTheme="majorEastAsia" w:hAnsiTheme="majorHAnsi" w:cstheme="majorBidi"/>
      <w:color w:val="2F5496" w:themeColor="accent1" w:themeShade="BF"/>
    </w:rPr>
  </w:style>
  <w:style w:type="character" w:customStyle="1" w:styleId="UnresolvedMention2">
    <w:name w:val="Unresolved Mention2"/>
    <w:basedOn w:val="DefaultParagraphFont"/>
    <w:uiPriority w:val="99"/>
    <w:semiHidden/>
    <w:unhideWhenUsed/>
    <w:rsid w:val="00974FD4"/>
    <w:rPr>
      <w:color w:val="605E5C"/>
      <w:shd w:val="clear" w:color="auto" w:fill="E1DFDD"/>
    </w:rPr>
  </w:style>
  <w:style w:type="character" w:customStyle="1" w:styleId="Heading6Char">
    <w:name w:val="Heading 6 Char"/>
    <w:basedOn w:val="DefaultParagraphFont"/>
    <w:link w:val="Heading6"/>
    <w:uiPriority w:val="9"/>
    <w:semiHidden/>
    <w:rsid w:val="00D432FA"/>
    <w:rPr>
      <w:rFonts w:asciiTheme="majorHAnsi" w:eastAsiaTheme="majorEastAsia" w:hAnsiTheme="majorHAnsi" w:cstheme="majorBidi"/>
      <w:color w:val="1F3763" w:themeColor="accent1" w:themeShade="7F"/>
    </w:rPr>
  </w:style>
  <w:style w:type="paragraph" w:styleId="FootnoteText">
    <w:name w:val="footnote text"/>
    <w:basedOn w:val="Normal"/>
    <w:link w:val="FootnoteTextChar"/>
    <w:uiPriority w:val="99"/>
    <w:semiHidden/>
    <w:unhideWhenUsed/>
    <w:rsid w:val="0024178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41786"/>
    <w:rPr>
      <w:sz w:val="20"/>
      <w:szCs w:val="20"/>
    </w:rPr>
  </w:style>
  <w:style w:type="character" w:styleId="FootnoteReference">
    <w:name w:val="footnote reference"/>
    <w:basedOn w:val="DefaultParagraphFont"/>
    <w:uiPriority w:val="99"/>
    <w:semiHidden/>
    <w:unhideWhenUsed/>
    <w:rsid w:val="00241786"/>
    <w:rPr>
      <w:vertAlign w:val="superscript"/>
    </w:rPr>
  </w:style>
  <w:style w:type="paragraph" w:styleId="EndnoteText">
    <w:name w:val="endnote text"/>
    <w:basedOn w:val="Normal"/>
    <w:link w:val="EndnoteTextChar"/>
    <w:uiPriority w:val="99"/>
    <w:semiHidden/>
    <w:unhideWhenUsed/>
    <w:rsid w:val="00241786"/>
    <w:pPr>
      <w:spacing w:after="0" w:line="240" w:lineRule="auto"/>
    </w:pPr>
    <w:rPr>
      <w:sz w:val="20"/>
      <w:szCs w:val="20"/>
    </w:rPr>
  </w:style>
  <w:style w:type="character" w:customStyle="1" w:styleId="EndnoteTextChar">
    <w:name w:val="Endnote Text Char"/>
    <w:basedOn w:val="DefaultParagraphFont"/>
    <w:link w:val="EndnoteText"/>
    <w:uiPriority w:val="99"/>
    <w:semiHidden/>
    <w:rsid w:val="00241786"/>
    <w:rPr>
      <w:sz w:val="20"/>
      <w:szCs w:val="20"/>
    </w:rPr>
  </w:style>
  <w:style w:type="character" w:styleId="EndnoteReference">
    <w:name w:val="endnote reference"/>
    <w:basedOn w:val="DefaultParagraphFont"/>
    <w:uiPriority w:val="99"/>
    <w:semiHidden/>
    <w:unhideWhenUsed/>
    <w:rsid w:val="00241786"/>
    <w:rPr>
      <w:vertAlign w:val="superscript"/>
    </w:rPr>
  </w:style>
  <w:style w:type="paragraph" w:styleId="BalloonText">
    <w:name w:val="Balloon Text"/>
    <w:basedOn w:val="Normal"/>
    <w:link w:val="BalloonTextChar"/>
    <w:uiPriority w:val="99"/>
    <w:semiHidden/>
    <w:unhideWhenUsed/>
    <w:rsid w:val="002E06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E06C4"/>
    <w:rPr>
      <w:rFonts w:ascii="Tahoma" w:hAnsi="Tahoma" w:cs="Tahoma"/>
      <w:sz w:val="16"/>
      <w:szCs w:val="16"/>
    </w:rPr>
  </w:style>
  <w:style w:type="table" w:customStyle="1" w:styleId="TableGrid4">
    <w:name w:val="Table Grid4"/>
    <w:basedOn w:val="TableNormal"/>
    <w:next w:val="TableGrid"/>
    <w:uiPriority w:val="39"/>
    <w:rsid w:val="00B73D34"/>
    <w:pPr>
      <w:spacing w:after="0" w:line="240" w:lineRule="auto"/>
    </w:pPr>
    <w:rPr>
      <w:rFonts w:eastAsia="Yu Mincho"/>
      <w:kern w:val="2"/>
      <w:sz w:val="24"/>
      <w:szCs w:val="21"/>
      <w:lang w:val="en-IN" w:eastAsia="ja-JP"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F4B25"/>
    <w:pPr>
      <w:spacing w:after="0" w:line="240" w:lineRule="auto"/>
    </w:pPr>
  </w:style>
  <w:style w:type="paragraph" w:styleId="NormalWeb">
    <w:name w:val="Normal (Web)"/>
    <w:basedOn w:val="Normal"/>
    <w:uiPriority w:val="99"/>
    <w:semiHidden/>
    <w:unhideWhenUsed/>
    <w:rsid w:val="00794B3C"/>
    <w:pPr>
      <w:spacing w:before="100" w:beforeAutospacing="1" w:after="100" w:afterAutospacing="1" w:line="240" w:lineRule="auto"/>
    </w:pPr>
    <w:rPr>
      <w:rFonts w:ascii="Times New Roman" w:eastAsia="Times New Roman" w:hAnsi="Times New Roman" w:cs="Times New Roman"/>
      <w:sz w:val="24"/>
      <w:szCs w:val="24"/>
      <w:lang w:val="en-IN" w:eastAsia="ja-JP" w:bidi="hi-IN"/>
    </w:rPr>
  </w:style>
  <w:style w:type="character" w:customStyle="1" w:styleId="Heading3Char">
    <w:name w:val="Heading 3 Char"/>
    <w:basedOn w:val="DefaultParagraphFont"/>
    <w:link w:val="Heading3"/>
    <w:uiPriority w:val="9"/>
    <w:rsid w:val="00923452"/>
    <w:rPr>
      <w:rFonts w:eastAsiaTheme="majorEastAsia" w:cstheme="majorBidi"/>
      <w:color w:val="2F5496" w:themeColor="accent1" w:themeShade="BF"/>
      <w:kern w:val="2"/>
      <w:sz w:val="28"/>
      <w:szCs w:val="28"/>
      <w:lang w:val="en-IN"/>
    </w:rPr>
  </w:style>
  <w:style w:type="character" w:customStyle="1" w:styleId="Heading4Char">
    <w:name w:val="Heading 4 Char"/>
    <w:basedOn w:val="DefaultParagraphFont"/>
    <w:link w:val="Heading4"/>
    <w:uiPriority w:val="9"/>
    <w:semiHidden/>
    <w:rsid w:val="00923452"/>
    <w:rPr>
      <w:rFonts w:eastAsiaTheme="majorEastAsia" w:cstheme="majorBidi"/>
      <w:i/>
      <w:iCs/>
      <w:color w:val="2F5496" w:themeColor="accent1" w:themeShade="BF"/>
      <w:kern w:val="2"/>
      <w:lang w:val="en-IN"/>
    </w:rPr>
  </w:style>
  <w:style w:type="character" w:customStyle="1" w:styleId="Heading7Char">
    <w:name w:val="Heading 7 Char"/>
    <w:basedOn w:val="DefaultParagraphFont"/>
    <w:link w:val="Heading7"/>
    <w:uiPriority w:val="9"/>
    <w:semiHidden/>
    <w:rsid w:val="00923452"/>
    <w:rPr>
      <w:rFonts w:eastAsiaTheme="majorEastAsia" w:cstheme="majorBidi"/>
      <w:color w:val="595959" w:themeColor="text1" w:themeTint="A6"/>
      <w:kern w:val="2"/>
      <w:lang w:val="en-IN"/>
    </w:rPr>
  </w:style>
  <w:style w:type="character" w:customStyle="1" w:styleId="Heading8Char">
    <w:name w:val="Heading 8 Char"/>
    <w:basedOn w:val="DefaultParagraphFont"/>
    <w:link w:val="Heading8"/>
    <w:uiPriority w:val="9"/>
    <w:semiHidden/>
    <w:rsid w:val="00923452"/>
    <w:rPr>
      <w:rFonts w:eastAsiaTheme="majorEastAsia" w:cstheme="majorBidi"/>
      <w:i/>
      <w:iCs/>
      <w:color w:val="272727" w:themeColor="text1" w:themeTint="D8"/>
      <w:kern w:val="2"/>
      <w:lang w:val="en-IN"/>
    </w:rPr>
  </w:style>
  <w:style w:type="character" w:customStyle="1" w:styleId="Heading9Char">
    <w:name w:val="Heading 9 Char"/>
    <w:basedOn w:val="DefaultParagraphFont"/>
    <w:link w:val="Heading9"/>
    <w:uiPriority w:val="9"/>
    <w:semiHidden/>
    <w:rsid w:val="00923452"/>
    <w:rPr>
      <w:rFonts w:eastAsiaTheme="majorEastAsia" w:cstheme="majorBidi"/>
      <w:color w:val="272727" w:themeColor="text1" w:themeTint="D8"/>
      <w:kern w:val="2"/>
      <w:lang w:val="en-IN"/>
    </w:rPr>
  </w:style>
  <w:style w:type="paragraph" w:styleId="Title">
    <w:name w:val="Title"/>
    <w:basedOn w:val="Normal"/>
    <w:next w:val="Normal"/>
    <w:link w:val="TitleChar"/>
    <w:uiPriority w:val="10"/>
    <w:qFormat/>
    <w:rsid w:val="00923452"/>
    <w:pPr>
      <w:spacing w:beforeAutospacing="1" w:after="80" w:afterAutospacing="1" w:line="240" w:lineRule="auto"/>
      <w:contextualSpacing/>
      <w:jc w:val="both"/>
    </w:pPr>
    <w:rPr>
      <w:rFonts w:asciiTheme="majorHAnsi" w:eastAsiaTheme="majorEastAsia" w:hAnsiTheme="majorHAnsi" w:cstheme="majorBidi"/>
      <w:spacing w:val="-10"/>
      <w:kern w:val="28"/>
      <w:sz w:val="56"/>
      <w:szCs w:val="56"/>
      <w:lang w:val="en-IN"/>
    </w:rPr>
  </w:style>
  <w:style w:type="character" w:customStyle="1" w:styleId="TitleChar">
    <w:name w:val="Title Char"/>
    <w:basedOn w:val="DefaultParagraphFont"/>
    <w:link w:val="Title"/>
    <w:uiPriority w:val="10"/>
    <w:rsid w:val="00923452"/>
    <w:rPr>
      <w:rFonts w:asciiTheme="majorHAnsi" w:eastAsiaTheme="majorEastAsia" w:hAnsiTheme="majorHAnsi" w:cstheme="majorBidi"/>
      <w:spacing w:val="-10"/>
      <w:kern w:val="28"/>
      <w:sz w:val="56"/>
      <w:szCs w:val="56"/>
      <w:lang w:val="en-IN"/>
    </w:rPr>
  </w:style>
  <w:style w:type="paragraph" w:styleId="Subtitle">
    <w:name w:val="Subtitle"/>
    <w:basedOn w:val="Normal"/>
    <w:next w:val="Normal"/>
    <w:link w:val="SubtitleChar"/>
    <w:uiPriority w:val="11"/>
    <w:qFormat/>
    <w:rsid w:val="00923452"/>
    <w:pPr>
      <w:numPr>
        <w:ilvl w:val="1"/>
      </w:numPr>
      <w:spacing w:before="100" w:beforeAutospacing="1" w:afterAutospacing="1" w:line="240" w:lineRule="auto"/>
      <w:jc w:val="both"/>
    </w:pPr>
    <w:rPr>
      <w:rFonts w:eastAsiaTheme="majorEastAsia" w:cstheme="majorBidi"/>
      <w:color w:val="595959" w:themeColor="text1" w:themeTint="A6"/>
      <w:spacing w:val="15"/>
      <w:kern w:val="2"/>
      <w:sz w:val="28"/>
      <w:szCs w:val="28"/>
      <w:lang w:val="en-IN"/>
    </w:rPr>
  </w:style>
  <w:style w:type="character" w:customStyle="1" w:styleId="SubtitleChar">
    <w:name w:val="Subtitle Char"/>
    <w:basedOn w:val="DefaultParagraphFont"/>
    <w:link w:val="Subtitle"/>
    <w:uiPriority w:val="11"/>
    <w:rsid w:val="00923452"/>
    <w:rPr>
      <w:rFonts w:eastAsiaTheme="majorEastAsia" w:cstheme="majorBidi"/>
      <w:color w:val="595959" w:themeColor="text1" w:themeTint="A6"/>
      <w:spacing w:val="15"/>
      <w:kern w:val="2"/>
      <w:sz w:val="28"/>
      <w:szCs w:val="28"/>
      <w:lang w:val="en-IN"/>
    </w:rPr>
  </w:style>
  <w:style w:type="paragraph" w:styleId="Quote">
    <w:name w:val="Quote"/>
    <w:basedOn w:val="Normal"/>
    <w:next w:val="Normal"/>
    <w:link w:val="QuoteChar"/>
    <w:uiPriority w:val="29"/>
    <w:qFormat/>
    <w:rsid w:val="00923452"/>
    <w:pPr>
      <w:spacing w:before="160" w:beforeAutospacing="1" w:afterAutospacing="1" w:line="240" w:lineRule="auto"/>
      <w:jc w:val="center"/>
    </w:pPr>
    <w:rPr>
      <w:i/>
      <w:iCs/>
      <w:color w:val="404040" w:themeColor="text1" w:themeTint="BF"/>
      <w:kern w:val="2"/>
      <w:lang w:val="en-IN"/>
    </w:rPr>
  </w:style>
  <w:style w:type="character" w:customStyle="1" w:styleId="QuoteChar">
    <w:name w:val="Quote Char"/>
    <w:basedOn w:val="DefaultParagraphFont"/>
    <w:link w:val="Quote"/>
    <w:uiPriority w:val="29"/>
    <w:rsid w:val="00923452"/>
    <w:rPr>
      <w:i/>
      <w:iCs/>
      <w:color w:val="404040" w:themeColor="text1" w:themeTint="BF"/>
      <w:kern w:val="2"/>
      <w:lang w:val="en-IN"/>
    </w:rPr>
  </w:style>
  <w:style w:type="character" w:styleId="IntenseEmphasis">
    <w:name w:val="Intense Emphasis"/>
    <w:basedOn w:val="DefaultParagraphFont"/>
    <w:uiPriority w:val="21"/>
    <w:qFormat/>
    <w:rsid w:val="00923452"/>
    <w:rPr>
      <w:i/>
      <w:iCs/>
      <w:color w:val="2F5496" w:themeColor="accent1" w:themeShade="BF"/>
    </w:rPr>
  </w:style>
  <w:style w:type="paragraph" w:styleId="IntenseQuote">
    <w:name w:val="Intense Quote"/>
    <w:basedOn w:val="Normal"/>
    <w:next w:val="Normal"/>
    <w:link w:val="IntenseQuoteChar"/>
    <w:uiPriority w:val="30"/>
    <w:qFormat/>
    <w:rsid w:val="00923452"/>
    <w:pPr>
      <w:pBdr>
        <w:top w:val="single" w:sz="4" w:space="10" w:color="2F5496" w:themeColor="accent1" w:themeShade="BF"/>
        <w:bottom w:val="single" w:sz="4" w:space="10" w:color="2F5496" w:themeColor="accent1" w:themeShade="BF"/>
      </w:pBdr>
      <w:spacing w:before="360" w:beforeAutospacing="1" w:after="360" w:afterAutospacing="1" w:line="240" w:lineRule="auto"/>
      <w:ind w:left="864" w:right="864"/>
      <w:jc w:val="center"/>
    </w:pPr>
    <w:rPr>
      <w:i/>
      <w:iCs/>
      <w:color w:val="2F5496" w:themeColor="accent1" w:themeShade="BF"/>
      <w:kern w:val="2"/>
      <w:lang w:val="en-IN"/>
    </w:rPr>
  </w:style>
  <w:style w:type="character" w:customStyle="1" w:styleId="IntenseQuoteChar">
    <w:name w:val="Intense Quote Char"/>
    <w:basedOn w:val="DefaultParagraphFont"/>
    <w:link w:val="IntenseQuote"/>
    <w:uiPriority w:val="30"/>
    <w:rsid w:val="00923452"/>
    <w:rPr>
      <w:i/>
      <w:iCs/>
      <w:color w:val="2F5496" w:themeColor="accent1" w:themeShade="BF"/>
      <w:kern w:val="2"/>
      <w:lang w:val="en-IN"/>
    </w:rPr>
  </w:style>
  <w:style w:type="character" w:styleId="IntenseReference">
    <w:name w:val="Intense Reference"/>
    <w:basedOn w:val="DefaultParagraphFont"/>
    <w:uiPriority w:val="32"/>
    <w:qFormat/>
    <w:rsid w:val="00923452"/>
    <w:rPr>
      <w:b/>
      <w:bCs/>
      <w:smallCaps/>
      <w:color w:val="2F5496" w:themeColor="accent1" w:themeShade="BF"/>
      <w:spacing w:val="5"/>
    </w:rPr>
  </w:style>
  <w:style w:type="character" w:styleId="UnresolvedMention">
    <w:name w:val="Unresolved Mention"/>
    <w:basedOn w:val="DefaultParagraphFont"/>
    <w:uiPriority w:val="99"/>
    <w:semiHidden/>
    <w:unhideWhenUsed/>
    <w:rsid w:val="005630A1"/>
    <w:rPr>
      <w:color w:val="605E5C"/>
      <w:shd w:val="clear" w:color="auto" w:fill="E1DFDD"/>
    </w:rPr>
  </w:style>
  <w:style w:type="character" w:customStyle="1" w:styleId="cursor-pointer">
    <w:name w:val="cursor-pointer"/>
    <w:rsid w:val="00236F8D"/>
  </w:style>
  <w:style w:type="character" w:styleId="Emphasis">
    <w:name w:val="Emphasis"/>
    <w:basedOn w:val="DefaultParagraphFont"/>
    <w:uiPriority w:val="20"/>
    <w:qFormat/>
    <w:rsid w:val="008451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7536">
      <w:marLeft w:val="640"/>
      <w:marRight w:val="0"/>
      <w:marTop w:val="0"/>
      <w:marBottom w:val="0"/>
      <w:divBdr>
        <w:top w:val="none" w:sz="0" w:space="0" w:color="auto"/>
        <w:left w:val="none" w:sz="0" w:space="0" w:color="auto"/>
        <w:bottom w:val="none" w:sz="0" w:space="0" w:color="auto"/>
        <w:right w:val="none" w:sz="0" w:space="0" w:color="auto"/>
      </w:divBdr>
    </w:div>
    <w:div w:id="23986820">
      <w:bodyDiv w:val="1"/>
      <w:marLeft w:val="0"/>
      <w:marRight w:val="0"/>
      <w:marTop w:val="0"/>
      <w:marBottom w:val="0"/>
      <w:divBdr>
        <w:top w:val="none" w:sz="0" w:space="0" w:color="auto"/>
        <w:left w:val="none" w:sz="0" w:space="0" w:color="auto"/>
        <w:bottom w:val="none" w:sz="0" w:space="0" w:color="auto"/>
        <w:right w:val="none" w:sz="0" w:space="0" w:color="auto"/>
      </w:divBdr>
    </w:div>
    <w:div w:id="46610012">
      <w:bodyDiv w:val="1"/>
      <w:marLeft w:val="0"/>
      <w:marRight w:val="0"/>
      <w:marTop w:val="0"/>
      <w:marBottom w:val="0"/>
      <w:divBdr>
        <w:top w:val="none" w:sz="0" w:space="0" w:color="auto"/>
        <w:left w:val="none" w:sz="0" w:space="0" w:color="auto"/>
        <w:bottom w:val="none" w:sz="0" w:space="0" w:color="auto"/>
        <w:right w:val="none" w:sz="0" w:space="0" w:color="auto"/>
      </w:divBdr>
    </w:div>
    <w:div w:id="48505578">
      <w:marLeft w:val="640"/>
      <w:marRight w:val="0"/>
      <w:marTop w:val="0"/>
      <w:marBottom w:val="0"/>
      <w:divBdr>
        <w:top w:val="none" w:sz="0" w:space="0" w:color="auto"/>
        <w:left w:val="none" w:sz="0" w:space="0" w:color="auto"/>
        <w:bottom w:val="none" w:sz="0" w:space="0" w:color="auto"/>
        <w:right w:val="none" w:sz="0" w:space="0" w:color="auto"/>
      </w:divBdr>
    </w:div>
    <w:div w:id="55859329">
      <w:bodyDiv w:val="1"/>
      <w:marLeft w:val="0"/>
      <w:marRight w:val="0"/>
      <w:marTop w:val="0"/>
      <w:marBottom w:val="0"/>
      <w:divBdr>
        <w:top w:val="none" w:sz="0" w:space="0" w:color="auto"/>
        <w:left w:val="none" w:sz="0" w:space="0" w:color="auto"/>
        <w:bottom w:val="none" w:sz="0" w:space="0" w:color="auto"/>
        <w:right w:val="none" w:sz="0" w:space="0" w:color="auto"/>
      </w:divBdr>
    </w:div>
    <w:div w:id="63064034">
      <w:bodyDiv w:val="1"/>
      <w:marLeft w:val="0"/>
      <w:marRight w:val="0"/>
      <w:marTop w:val="0"/>
      <w:marBottom w:val="0"/>
      <w:divBdr>
        <w:top w:val="none" w:sz="0" w:space="0" w:color="auto"/>
        <w:left w:val="none" w:sz="0" w:space="0" w:color="auto"/>
        <w:bottom w:val="none" w:sz="0" w:space="0" w:color="auto"/>
        <w:right w:val="none" w:sz="0" w:space="0" w:color="auto"/>
      </w:divBdr>
    </w:div>
    <w:div w:id="72246113">
      <w:marLeft w:val="640"/>
      <w:marRight w:val="0"/>
      <w:marTop w:val="0"/>
      <w:marBottom w:val="0"/>
      <w:divBdr>
        <w:top w:val="none" w:sz="0" w:space="0" w:color="auto"/>
        <w:left w:val="none" w:sz="0" w:space="0" w:color="auto"/>
        <w:bottom w:val="none" w:sz="0" w:space="0" w:color="auto"/>
        <w:right w:val="none" w:sz="0" w:space="0" w:color="auto"/>
      </w:divBdr>
    </w:div>
    <w:div w:id="92745810">
      <w:bodyDiv w:val="1"/>
      <w:marLeft w:val="0"/>
      <w:marRight w:val="0"/>
      <w:marTop w:val="0"/>
      <w:marBottom w:val="0"/>
      <w:divBdr>
        <w:top w:val="none" w:sz="0" w:space="0" w:color="auto"/>
        <w:left w:val="none" w:sz="0" w:space="0" w:color="auto"/>
        <w:bottom w:val="none" w:sz="0" w:space="0" w:color="auto"/>
        <w:right w:val="none" w:sz="0" w:space="0" w:color="auto"/>
      </w:divBdr>
    </w:div>
    <w:div w:id="114638582">
      <w:marLeft w:val="640"/>
      <w:marRight w:val="0"/>
      <w:marTop w:val="0"/>
      <w:marBottom w:val="0"/>
      <w:divBdr>
        <w:top w:val="none" w:sz="0" w:space="0" w:color="auto"/>
        <w:left w:val="none" w:sz="0" w:space="0" w:color="auto"/>
        <w:bottom w:val="none" w:sz="0" w:space="0" w:color="auto"/>
        <w:right w:val="none" w:sz="0" w:space="0" w:color="auto"/>
      </w:divBdr>
    </w:div>
    <w:div w:id="115762843">
      <w:bodyDiv w:val="1"/>
      <w:marLeft w:val="0"/>
      <w:marRight w:val="0"/>
      <w:marTop w:val="0"/>
      <w:marBottom w:val="0"/>
      <w:divBdr>
        <w:top w:val="none" w:sz="0" w:space="0" w:color="auto"/>
        <w:left w:val="none" w:sz="0" w:space="0" w:color="auto"/>
        <w:bottom w:val="none" w:sz="0" w:space="0" w:color="auto"/>
        <w:right w:val="none" w:sz="0" w:space="0" w:color="auto"/>
      </w:divBdr>
    </w:div>
    <w:div w:id="122238006">
      <w:marLeft w:val="640"/>
      <w:marRight w:val="0"/>
      <w:marTop w:val="0"/>
      <w:marBottom w:val="0"/>
      <w:divBdr>
        <w:top w:val="none" w:sz="0" w:space="0" w:color="auto"/>
        <w:left w:val="none" w:sz="0" w:space="0" w:color="auto"/>
        <w:bottom w:val="none" w:sz="0" w:space="0" w:color="auto"/>
        <w:right w:val="none" w:sz="0" w:space="0" w:color="auto"/>
      </w:divBdr>
    </w:div>
    <w:div w:id="140663410">
      <w:bodyDiv w:val="1"/>
      <w:marLeft w:val="0"/>
      <w:marRight w:val="0"/>
      <w:marTop w:val="0"/>
      <w:marBottom w:val="0"/>
      <w:divBdr>
        <w:top w:val="none" w:sz="0" w:space="0" w:color="auto"/>
        <w:left w:val="none" w:sz="0" w:space="0" w:color="auto"/>
        <w:bottom w:val="none" w:sz="0" w:space="0" w:color="auto"/>
        <w:right w:val="none" w:sz="0" w:space="0" w:color="auto"/>
      </w:divBdr>
    </w:div>
    <w:div w:id="144902853">
      <w:bodyDiv w:val="1"/>
      <w:marLeft w:val="0"/>
      <w:marRight w:val="0"/>
      <w:marTop w:val="0"/>
      <w:marBottom w:val="0"/>
      <w:divBdr>
        <w:top w:val="none" w:sz="0" w:space="0" w:color="auto"/>
        <w:left w:val="none" w:sz="0" w:space="0" w:color="auto"/>
        <w:bottom w:val="none" w:sz="0" w:space="0" w:color="auto"/>
        <w:right w:val="none" w:sz="0" w:space="0" w:color="auto"/>
      </w:divBdr>
    </w:div>
    <w:div w:id="170527674">
      <w:marLeft w:val="640"/>
      <w:marRight w:val="0"/>
      <w:marTop w:val="0"/>
      <w:marBottom w:val="0"/>
      <w:divBdr>
        <w:top w:val="none" w:sz="0" w:space="0" w:color="auto"/>
        <w:left w:val="none" w:sz="0" w:space="0" w:color="auto"/>
        <w:bottom w:val="none" w:sz="0" w:space="0" w:color="auto"/>
        <w:right w:val="none" w:sz="0" w:space="0" w:color="auto"/>
      </w:divBdr>
    </w:div>
    <w:div w:id="184946655">
      <w:marLeft w:val="640"/>
      <w:marRight w:val="0"/>
      <w:marTop w:val="0"/>
      <w:marBottom w:val="0"/>
      <w:divBdr>
        <w:top w:val="none" w:sz="0" w:space="0" w:color="auto"/>
        <w:left w:val="none" w:sz="0" w:space="0" w:color="auto"/>
        <w:bottom w:val="none" w:sz="0" w:space="0" w:color="auto"/>
        <w:right w:val="none" w:sz="0" w:space="0" w:color="auto"/>
      </w:divBdr>
    </w:div>
    <w:div w:id="189800062">
      <w:bodyDiv w:val="1"/>
      <w:marLeft w:val="0"/>
      <w:marRight w:val="0"/>
      <w:marTop w:val="0"/>
      <w:marBottom w:val="0"/>
      <w:divBdr>
        <w:top w:val="none" w:sz="0" w:space="0" w:color="auto"/>
        <w:left w:val="none" w:sz="0" w:space="0" w:color="auto"/>
        <w:bottom w:val="none" w:sz="0" w:space="0" w:color="auto"/>
        <w:right w:val="none" w:sz="0" w:space="0" w:color="auto"/>
      </w:divBdr>
    </w:div>
    <w:div w:id="192889999">
      <w:bodyDiv w:val="1"/>
      <w:marLeft w:val="0"/>
      <w:marRight w:val="0"/>
      <w:marTop w:val="0"/>
      <w:marBottom w:val="0"/>
      <w:divBdr>
        <w:top w:val="none" w:sz="0" w:space="0" w:color="auto"/>
        <w:left w:val="none" w:sz="0" w:space="0" w:color="auto"/>
        <w:bottom w:val="none" w:sz="0" w:space="0" w:color="auto"/>
        <w:right w:val="none" w:sz="0" w:space="0" w:color="auto"/>
      </w:divBdr>
    </w:div>
    <w:div w:id="206377118">
      <w:bodyDiv w:val="1"/>
      <w:marLeft w:val="0"/>
      <w:marRight w:val="0"/>
      <w:marTop w:val="0"/>
      <w:marBottom w:val="0"/>
      <w:divBdr>
        <w:top w:val="none" w:sz="0" w:space="0" w:color="auto"/>
        <w:left w:val="none" w:sz="0" w:space="0" w:color="auto"/>
        <w:bottom w:val="none" w:sz="0" w:space="0" w:color="auto"/>
        <w:right w:val="none" w:sz="0" w:space="0" w:color="auto"/>
      </w:divBdr>
    </w:div>
    <w:div w:id="235674157">
      <w:marLeft w:val="640"/>
      <w:marRight w:val="0"/>
      <w:marTop w:val="0"/>
      <w:marBottom w:val="0"/>
      <w:divBdr>
        <w:top w:val="none" w:sz="0" w:space="0" w:color="auto"/>
        <w:left w:val="none" w:sz="0" w:space="0" w:color="auto"/>
        <w:bottom w:val="none" w:sz="0" w:space="0" w:color="auto"/>
        <w:right w:val="none" w:sz="0" w:space="0" w:color="auto"/>
      </w:divBdr>
    </w:div>
    <w:div w:id="240214701">
      <w:bodyDiv w:val="1"/>
      <w:marLeft w:val="0"/>
      <w:marRight w:val="0"/>
      <w:marTop w:val="0"/>
      <w:marBottom w:val="0"/>
      <w:divBdr>
        <w:top w:val="none" w:sz="0" w:space="0" w:color="auto"/>
        <w:left w:val="none" w:sz="0" w:space="0" w:color="auto"/>
        <w:bottom w:val="none" w:sz="0" w:space="0" w:color="auto"/>
        <w:right w:val="none" w:sz="0" w:space="0" w:color="auto"/>
      </w:divBdr>
    </w:div>
    <w:div w:id="250361008">
      <w:marLeft w:val="640"/>
      <w:marRight w:val="0"/>
      <w:marTop w:val="0"/>
      <w:marBottom w:val="0"/>
      <w:divBdr>
        <w:top w:val="none" w:sz="0" w:space="0" w:color="auto"/>
        <w:left w:val="none" w:sz="0" w:space="0" w:color="auto"/>
        <w:bottom w:val="none" w:sz="0" w:space="0" w:color="auto"/>
        <w:right w:val="none" w:sz="0" w:space="0" w:color="auto"/>
      </w:divBdr>
    </w:div>
    <w:div w:id="273168923">
      <w:bodyDiv w:val="1"/>
      <w:marLeft w:val="0"/>
      <w:marRight w:val="0"/>
      <w:marTop w:val="0"/>
      <w:marBottom w:val="0"/>
      <w:divBdr>
        <w:top w:val="none" w:sz="0" w:space="0" w:color="auto"/>
        <w:left w:val="none" w:sz="0" w:space="0" w:color="auto"/>
        <w:bottom w:val="none" w:sz="0" w:space="0" w:color="auto"/>
        <w:right w:val="none" w:sz="0" w:space="0" w:color="auto"/>
      </w:divBdr>
    </w:div>
    <w:div w:id="277152507">
      <w:marLeft w:val="640"/>
      <w:marRight w:val="0"/>
      <w:marTop w:val="0"/>
      <w:marBottom w:val="0"/>
      <w:divBdr>
        <w:top w:val="none" w:sz="0" w:space="0" w:color="auto"/>
        <w:left w:val="none" w:sz="0" w:space="0" w:color="auto"/>
        <w:bottom w:val="none" w:sz="0" w:space="0" w:color="auto"/>
        <w:right w:val="none" w:sz="0" w:space="0" w:color="auto"/>
      </w:divBdr>
    </w:div>
    <w:div w:id="278951966">
      <w:bodyDiv w:val="1"/>
      <w:marLeft w:val="0"/>
      <w:marRight w:val="0"/>
      <w:marTop w:val="0"/>
      <w:marBottom w:val="0"/>
      <w:divBdr>
        <w:top w:val="none" w:sz="0" w:space="0" w:color="auto"/>
        <w:left w:val="none" w:sz="0" w:space="0" w:color="auto"/>
        <w:bottom w:val="none" w:sz="0" w:space="0" w:color="auto"/>
        <w:right w:val="none" w:sz="0" w:space="0" w:color="auto"/>
      </w:divBdr>
    </w:div>
    <w:div w:id="288165445">
      <w:bodyDiv w:val="1"/>
      <w:marLeft w:val="0"/>
      <w:marRight w:val="0"/>
      <w:marTop w:val="0"/>
      <w:marBottom w:val="0"/>
      <w:divBdr>
        <w:top w:val="none" w:sz="0" w:space="0" w:color="auto"/>
        <w:left w:val="none" w:sz="0" w:space="0" w:color="auto"/>
        <w:bottom w:val="none" w:sz="0" w:space="0" w:color="auto"/>
        <w:right w:val="none" w:sz="0" w:space="0" w:color="auto"/>
      </w:divBdr>
    </w:div>
    <w:div w:id="292950366">
      <w:marLeft w:val="640"/>
      <w:marRight w:val="0"/>
      <w:marTop w:val="0"/>
      <w:marBottom w:val="0"/>
      <w:divBdr>
        <w:top w:val="none" w:sz="0" w:space="0" w:color="auto"/>
        <w:left w:val="none" w:sz="0" w:space="0" w:color="auto"/>
        <w:bottom w:val="none" w:sz="0" w:space="0" w:color="auto"/>
        <w:right w:val="none" w:sz="0" w:space="0" w:color="auto"/>
      </w:divBdr>
    </w:div>
    <w:div w:id="308873240">
      <w:bodyDiv w:val="1"/>
      <w:marLeft w:val="0"/>
      <w:marRight w:val="0"/>
      <w:marTop w:val="0"/>
      <w:marBottom w:val="0"/>
      <w:divBdr>
        <w:top w:val="none" w:sz="0" w:space="0" w:color="auto"/>
        <w:left w:val="none" w:sz="0" w:space="0" w:color="auto"/>
        <w:bottom w:val="none" w:sz="0" w:space="0" w:color="auto"/>
        <w:right w:val="none" w:sz="0" w:space="0" w:color="auto"/>
      </w:divBdr>
    </w:div>
    <w:div w:id="310256957">
      <w:marLeft w:val="640"/>
      <w:marRight w:val="0"/>
      <w:marTop w:val="0"/>
      <w:marBottom w:val="0"/>
      <w:divBdr>
        <w:top w:val="none" w:sz="0" w:space="0" w:color="auto"/>
        <w:left w:val="none" w:sz="0" w:space="0" w:color="auto"/>
        <w:bottom w:val="none" w:sz="0" w:space="0" w:color="auto"/>
        <w:right w:val="none" w:sz="0" w:space="0" w:color="auto"/>
      </w:divBdr>
    </w:div>
    <w:div w:id="314724876">
      <w:bodyDiv w:val="1"/>
      <w:marLeft w:val="0"/>
      <w:marRight w:val="0"/>
      <w:marTop w:val="0"/>
      <w:marBottom w:val="0"/>
      <w:divBdr>
        <w:top w:val="none" w:sz="0" w:space="0" w:color="auto"/>
        <w:left w:val="none" w:sz="0" w:space="0" w:color="auto"/>
        <w:bottom w:val="none" w:sz="0" w:space="0" w:color="auto"/>
        <w:right w:val="none" w:sz="0" w:space="0" w:color="auto"/>
      </w:divBdr>
    </w:div>
    <w:div w:id="315300482">
      <w:bodyDiv w:val="1"/>
      <w:marLeft w:val="0"/>
      <w:marRight w:val="0"/>
      <w:marTop w:val="0"/>
      <w:marBottom w:val="0"/>
      <w:divBdr>
        <w:top w:val="none" w:sz="0" w:space="0" w:color="auto"/>
        <w:left w:val="none" w:sz="0" w:space="0" w:color="auto"/>
        <w:bottom w:val="none" w:sz="0" w:space="0" w:color="auto"/>
        <w:right w:val="none" w:sz="0" w:space="0" w:color="auto"/>
      </w:divBdr>
    </w:div>
    <w:div w:id="316304083">
      <w:marLeft w:val="640"/>
      <w:marRight w:val="0"/>
      <w:marTop w:val="0"/>
      <w:marBottom w:val="0"/>
      <w:divBdr>
        <w:top w:val="none" w:sz="0" w:space="0" w:color="auto"/>
        <w:left w:val="none" w:sz="0" w:space="0" w:color="auto"/>
        <w:bottom w:val="none" w:sz="0" w:space="0" w:color="auto"/>
        <w:right w:val="none" w:sz="0" w:space="0" w:color="auto"/>
      </w:divBdr>
    </w:div>
    <w:div w:id="337275168">
      <w:bodyDiv w:val="1"/>
      <w:marLeft w:val="0"/>
      <w:marRight w:val="0"/>
      <w:marTop w:val="0"/>
      <w:marBottom w:val="0"/>
      <w:divBdr>
        <w:top w:val="none" w:sz="0" w:space="0" w:color="auto"/>
        <w:left w:val="none" w:sz="0" w:space="0" w:color="auto"/>
        <w:bottom w:val="none" w:sz="0" w:space="0" w:color="auto"/>
        <w:right w:val="none" w:sz="0" w:space="0" w:color="auto"/>
      </w:divBdr>
    </w:div>
    <w:div w:id="337343972">
      <w:bodyDiv w:val="1"/>
      <w:marLeft w:val="0"/>
      <w:marRight w:val="0"/>
      <w:marTop w:val="0"/>
      <w:marBottom w:val="0"/>
      <w:divBdr>
        <w:top w:val="none" w:sz="0" w:space="0" w:color="auto"/>
        <w:left w:val="none" w:sz="0" w:space="0" w:color="auto"/>
        <w:bottom w:val="none" w:sz="0" w:space="0" w:color="auto"/>
        <w:right w:val="none" w:sz="0" w:space="0" w:color="auto"/>
      </w:divBdr>
    </w:div>
    <w:div w:id="338701131">
      <w:marLeft w:val="640"/>
      <w:marRight w:val="0"/>
      <w:marTop w:val="0"/>
      <w:marBottom w:val="0"/>
      <w:divBdr>
        <w:top w:val="none" w:sz="0" w:space="0" w:color="auto"/>
        <w:left w:val="none" w:sz="0" w:space="0" w:color="auto"/>
        <w:bottom w:val="none" w:sz="0" w:space="0" w:color="auto"/>
        <w:right w:val="none" w:sz="0" w:space="0" w:color="auto"/>
      </w:divBdr>
    </w:div>
    <w:div w:id="347098785">
      <w:marLeft w:val="640"/>
      <w:marRight w:val="0"/>
      <w:marTop w:val="0"/>
      <w:marBottom w:val="0"/>
      <w:divBdr>
        <w:top w:val="none" w:sz="0" w:space="0" w:color="auto"/>
        <w:left w:val="none" w:sz="0" w:space="0" w:color="auto"/>
        <w:bottom w:val="none" w:sz="0" w:space="0" w:color="auto"/>
        <w:right w:val="none" w:sz="0" w:space="0" w:color="auto"/>
      </w:divBdr>
    </w:div>
    <w:div w:id="351106240">
      <w:bodyDiv w:val="1"/>
      <w:marLeft w:val="0"/>
      <w:marRight w:val="0"/>
      <w:marTop w:val="0"/>
      <w:marBottom w:val="0"/>
      <w:divBdr>
        <w:top w:val="none" w:sz="0" w:space="0" w:color="auto"/>
        <w:left w:val="none" w:sz="0" w:space="0" w:color="auto"/>
        <w:bottom w:val="none" w:sz="0" w:space="0" w:color="auto"/>
        <w:right w:val="none" w:sz="0" w:space="0" w:color="auto"/>
      </w:divBdr>
    </w:div>
    <w:div w:id="362170679">
      <w:bodyDiv w:val="1"/>
      <w:marLeft w:val="0"/>
      <w:marRight w:val="0"/>
      <w:marTop w:val="0"/>
      <w:marBottom w:val="0"/>
      <w:divBdr>
        <w:top w:val="none" w:sz="0" w:space="0" w:color="auto"/>
        <w:left w:val="none" w:sz="0" w:space="0" w:color="auto"/>
        <w:bottom w:val="none" w:sz="0" w:space="0" w:color="auto"/>
        <w:right w:val="none" w:sz="0" w:space="0" w:color="auto"/>
      </w:divBdr>
    </w:div>
    <w:div w:id="382294445">
      <w:bodyDiv w:val="1"/>
      <w:marLeft w:val="0"/>
      <w:marRight w:val="0"/>
      <w:marTop w:val="0"/>
      <w:marBottom w:val="0"/>
      <w:divBdr>
        <w:top w:val="none" w:sz="0" w:space="0" w:color="auto"/>
        <w:left w:val="none" w:sz="0" w:space="0" w:color="auto"/>
        <w:bottom w:val="none" w:sz="0" w:space="0" w:color="auto"/>
        <w:right w:val="none" w:sz="0" w:space="0" w:color="auto"/>
      </w:divBdr>
    </w:div>
    <w:div w:id="401149275">
      <w:bodyDiv w:val="1"/>
      <w:marLeft w:val="0"/>
      <w:marRight w:val="0"/>
      <w:marTop w:val="0"/>
      <w:marBottom w:val="0"/>
      <w:divBdr>
        <w:top w:val="none" w:sz="0" w:space="0" w:color="auto"/>
        <w:left w:val="none" w:sz="0" w:space="0" w:color="auto"/>
        <w:bottom w:val="none" w:sz="0" w:space="0" w:color="auto"/>
        <w:right w:val="none" w:sz="0" w:space="0" w:color="auto"/>
      </w:divBdr>
    </w:div>
    <w:div w:id="419103699">
      <w:marLeft w:val="640"/>
      <w:marRight w:val="0"/>
      <w:marTop w:val="0"/>
      <w:marBottom w:val="0"/>
      <w:divBdr>
        <w:top w:val="none" w:sz="0" w:space="0" w:color="auto"/>
        <w:left w:val="none" w:sz="0" w:space="0" w:color="auto"/>
        <w:bottom w:val="none" w:sz="0" w:space="0" w:color="auto"/>
        <w:right w:val="none" w:sz="0" w:space="0" w:color="auto"/>
      </w:divBdr>
    </w:div>
    <w:div w:id="421297252">
      <w:bodyDiv w:val="1"/>
      <w:marLeft w:val="0"/>
      <w:marRight w:val="0"/>
      <w:marTop w:val="0"/>
      <w:marBottom w:val="0"/>
      <w:divBdr>
        <w:top w:val="none" w:sz="0" w:space="0" w:color="auto"/>
        <w:left w:val="none" w:sz="0" w:space="0" w:color="auto"/>
        <w:bottom w:val="none" w:sz="0" w:space="0" w:color="auto"/>
        <w:right w:val="none" w:sz="0" w:space="0" w:color="auto"/>
      </w:divBdr>
    </w:div>
    <w:div w:id="421801246">
      <w:marLeft w:val="640"/>
      <w:marRight w:val="0"/>
      <w:marTop w:val="0"/>
      <w:marBottom w:val="0"/>
      <w:divBdr>
        <w:top w:val="none" w:sz="0" w:space="0" w:color="auto"/>
        <w:left w:val="none" w:sz="0" w:space="0" w:color="auto"/>
        <w:bottom w:val="none" w:sz="0" w:space="0" w:color="auto"/>
        <w:right w:val="none" w:sz="0" w:space="0" w:color="auto"/>
      </w:divBdr>
    </w:div>
    <w:div w:id="427625433">
      <w:bodyDiv w:val="1"/>
      <w:marLeft w:val="0"/>
      <w:marRight w:val="0"/>
      <w:marTop w:val="0"/>
      <w:marBottom w:val="0"/>
      <w:divBdr>
        <w:top w:val="none" w:sz="0" w:space="0" w:color="auto"/>
        <w:left w:val="none" w:sz="0" w:space="0" w:color="auto"/>
        <w:bottom w:val="none" w:sz="0" w:space="0" w:color="auto"/>
        <w:right w:val="none" w:sz="0" w:space="0" w:color="auto"/>
      </w:divBdr>
    </w:div>
    <w:div w:id="447699959">
      <w:bodyDiv w:val="1"/>
      <w:marLeft w:val="0"/>
      <w:marRight w:val="0"/>
      <w:marTop w:val="0"/>
      <w:marBottom w:val="0"/>
      <w:divBdr>
        <w:top w:val="none" w:sz="0" w:space="0" w:color="auto"/>
        <w:left w:val="none" w:sz="0" w:space="0" w:color="auto"/>
        <w:bottom w:val="none" w:sz="0" w:space="0" w:color="auto"/>
        <w:right w:val="none" w:sz="0" w:space="0" w:color="auto"/>
      </w:divBdr>
    </w:div>
    <w:div w:id="466778919">
      <w:marLeft w:val="640"/>
      <w:marRight w:val="0"/>
      <w:marTop w:val="0"/>
      <w:marBottom w:val="0"/>
      <w:divBdr>
        <w:top w:val="none" w:sz="0" w:space="0" w:color="auto"/>
        <w:left w:val="none" w:sz="0" w:space="0" w:color="auto"/>
        <w:bottom w:val="none" w:sz="0" w:space="0" w:color="auto"/>
        <w:right w:val="none" w:sz="0" w:space="0" w:color="auto"/>
      </w:divBdr>
    </w:div>
    <w:div w:id="469519985">
      <w:bodyDiv w:val="1"/>
      <w:marLeft w:val="0"/>
      <w:marRight w:val="0"/>
      <w:marTop w:val="0"/>
      <w:marBottom w:val="0"/>
      <w:divBdr>
        <w:top w:val="none" w:sz="0" w:space="0" w:color="auto"/>
        <w:left w:val="none" w:sz="0" w:space="0" w:color="auto"/>
        <w:bottom w:val="none" w:sz="0" w:space="0" w:color="auto"/>
        <w:right w:val="none" w:sz="0" w:space="0" w:color="auto"/>
      </w:divBdr>
    </w:div>
    <w:div w:id="472872863">
      <w:bodyDiv w:val="1"/>
      <w:marLeft w:val="0"/>
      <w:marRight w:val="0"/>
      <w:marTop w:val="0"/>
      <w:marBottom w:val="0"/>
      <w:divBdr>
        <w:top w:val="none" w:sz="0" w:space="0" w:color="auto"/>
        <w:left w:val="none" w:sz="0" w:space="0" w:color="auto"/>
        <w:bottom w:val="none" w:sz="0" w:space="0" w:color="auto"/>
        <w:right w:val="none" w:sz="0" w:space="0" w:color="auto"/>
      </w:divBdr>
    </w:div>
    <w:div w:id="477574597">
      <w:bodyDiv w:val="1"/>
      <w:marLeft w:val="0"/>
      <w:marRight w:val="0"/>
      <w:marTop w:val="0"/>
      <w:marBottom w:val="0"/>
      <w:divBdr>
        <w:top w:val="none" w:sz="0" w:space="0" w:color="auto"/>
        <w:left w:val="none" w:sz="0" w:space="0" w:color="auto"/>
        <w:bottom w:val="none" w:sz="0" w:space="0" w:color="auto"/>
        <w:right w:val="none" w:sz="0" w:space="0" w:color="auto"/>
      </w:divBdr>
    </w:div>
    <w:div w:id="486897332">
      <w:bodyDiv w:val="1"/>
      <w:marLeft w:val="0"/>
      <w:marRight w:val="0"/>
      <w:marTop w:val="0"/>
      <w:marBottom w:val="0"/>
      <w:divBdr>
        <w:top w:val="none" w:sz="0" w:space="0" w:color="auto"/>
        <w:left w:val="none" w:sz="0" w:space="0" w:color="auto"/>
        <w:bottom w:val="none" w:sz="0" w:space="0" w:color="auto"/>
        <w:right w:val="none" w:sz="0" w:space="0" w:color="auto"/>
      </w:divBdr>
    </w:div>
    <w:div w:id="489752976">
      <w:bodyDiv w:val="1"/>
      <w:marLeft w:val="0"/>
      <w:marRight w:val="0"/>
      <w:marTop w:val="0"/>
      <w:marBottom w:val="0"/>
      <w:divBdr>
        <w:top w:val="none" w:sz="0" w:space="0" w:color="auto"/>
        <w:left w:val="none" w:sz="0" w:space="0" w:color="auto"/>
        <w:bottom w:val="none" w:sz="0" w:space="0" w:color="auto"/>
        <w:right w:val="none" w:sz="0" w:space="0" w:color="auto"/>
      </w:divBdr>
    </w:div>
    <w:div w:id="495195230">
      <w:marLeft w:val="640"/>
      <w:marRight w:val="0"/>
      <w:marTop w:val="0"/>
      <w:marBottom w:val="0"/>
      <w:divBdr>
        <w:top w:val="none" w:sz="0" w:space="0" w:color="auto"/>
        <w:left w:val="none" w:sz="0" w:space="0" w:color="auto"/>
        <w:bottom w:val="none" w:sz="0" w:space="0" w:color="auto"/>
        <w:right w:val="none" w:sz="0" w:space="0" w:color="auto"/>
      </w:divBdr>
    </w:div>
    <w:div w:id="507326893">
      <w:marLeft w:val="640"/>
      <w:marRight w:val="0"/>
      <w:marTop w:val="0"/>
      <w:marBottom w:val="0"/>
      <w:divBdr>
        <w:top w:val="none" w:sz="0" w:space="0" w:color="auto"/>
        <w:left w:val="none" w:sz="0" w:space="0" w:color="auto"/>
        <w:bottom w:val="none" w:sz="0" w:space="0" w:color="auto"/>
        <w:right w:val="none" w:sz="0" w:space="0" w:color="auto"/>
      </w:divBdr>
    </w:div>
    <w:div w:id="511143921">
      <w:marLeft w:val="640"/>
      <w:marRight w:val="0"/>
      <w:marTop w:val="0"/>
      <w:marBottom w:val="0"/>
      <w:divBdr>
        <w:top w:val="none" w:sz="0" w:space="0" w:color="auto"/>
        <w:left w:val="none" w:sz="0" w:space="0" w:color="auto"/>
        <w:bottom w:val="none" w:sz="0" w:space="0" w:color="auto"/>
        <w:right w:val="none" w:sz="0" w:space="0" w:color="auto"/>
      </w:divBdr>
    </w:div>
    <w:div w:id="529148946">
      <w:bodyDiv w:val="1"/>
      <w:marLeft w:val="0"/>
      <w:marRight w:val="0"/>
      <w:marTop w:val="0"/>
      <w:marBottom w:val="0"/>
      <w:divBdr>
        <w:top w:val="none" w:sz="0" w:space="0" w:color="auto"/>
        <w:left w:val="none" w:sz="0" w:space="0" w:color="auto"/>
        <w:bottom w:val="none" w:sz="0" w:space="0" w:color="auto"/>
        <w:right w:val="none" w:sz="0" w:space="0" w:color="auto"/>
      </w:divBdr>
    </w:div>
    <w:div w:id="540048187">
      <w:marLeft w:val="640"/>
      <w:marRight w:val="0"/>
      <w:marTop w:val="0"/>
      <w:marBottom w:val="0"/>
      <w:divBdr>
        <w:top w:val="none" w:sz="0" w:space="0" w:color="auto"/>
        <w:left w:val="none" w:sz="0" w:space="0" w:color="auto"/>
        <w:bottom w:val="none" w:sz="0" w:space="0" w:color="auto"/>
        <w:right w:val="none" w:sz="0" w:space="0" w:color="auto"/>
      </w:divBdr>
    </w:div>
    <w:div w:id="551575764">
      <w:bodyDiv w:val="1"/>
      <w:marLeft w:val="0"/>
      <w:marRight w:val="0"/>
      <w:marTop w:val="0"/>
      <w:marBottom w:val="0"/>
      <w:divBdr>
        <w:top w:val="none" w:sz="0" w:space="0" w:color="auto"/>
        <w:left w:val="none" w:sz="0" w:space="0" w:color="auto"/>
        <w:bottom w:val="none" w:sz="0" w:space="0" w:color="auto"/>
        <w:right w:val="none" w:sz="0" w:space="0" w:color="auto"/>
      </w:divBdr>
    </w:div>
    <w:div w:id="558247080">
      <w:bodyDiv w:val="1"/>
      <w:marLeft w:val="0"/>
      <w:marRight w:val="0"/>
      <w:marTop w:val="0"/>
      <w:marBottom w:val="0"/>
      <w:divBdr>
        <w:top w:val="none" w:sz="0" w:space="0" w:color="auto"/>
        <w:left w:val="none" w:sz="0" w:space="0" w:color="auto"/>
        <w:bottom w:val="none" w:sz="0" w:space="0" w:color="auto"/>
        <w:right w:val="none" w:sz="0" w:space="0" w:color="auto"/>
      </w:divBdr>
    </w:div>
    <w:div w:id="576745444">
      <w:bodyDiv w:val="1"/>
      <w:marLeft w:val="0"/>
      <w:marRight w:val="0"/>
      <w:marTop w:val="0"/>
      <w:marBottom w:val="0"/>
      <w:divBdr>
        <w:top w:val="none" w:sz="0" w:space="0" w:color="auto"/>
        <w:left w:val="none" w:sz="0" w:space="0" w:color="auto"/>
        <w:bottom w:val="none" w:sz="0" w:space="0" w:color="auto"/>
        <w:right w:val="none" w:sz="0" w:space="0" w:color="auto"/>
      </w:divBdr>
    </w:div>
    <w:div w:id="580989376">
      <w:bodyDiv w:val="1"/>
      <w:marLeft w:val="0"/>
      <w:marRight w:val="0"/>
      <w:marTop w:val="0"/>
      <w:marBottom w:val="0"/>
      <w:divBdr>
        <w:top w:val="none" w:sz="0" w:space="0" w:color="auto"/>
        <w:left w:val="none" w:sz="0" w:space="0" w:color="auto"/>
        <w:bottom w:val="none" w:sz="0" w:space="0" w:color="auto"/>
        <w:right w:val="none" w:sz="0" w:space="0" w:color="auto"/>
      </w:divBdr>
    </w:div>
    <w:div w:id="583998214">
      <w:bodyDiv w:val="1"/>
      <w:marLeft w:val="0"/>
      <w:marRight w:val="0"/>
      <w:marTop w:val="0"/>
      <w:marBottom w:val="0"/>
      <w:divBdr>
        <w:top w:val="none" w:sz="0" w:space="0" w:color="auto"/>
        <w:left w:val="none" w:sz="0" w:space="0" w:color="auto"/>
        <w:bottom w:val="none" w:sz="0" w:space="0" w:color="auto"/>
        <w:right w:val="none" w:sz="0" w:space="0" w:color="auto"/>
      </w:divBdr>
    </w:div>
    <w:div w:id="601911629">
      <w:bodyDiv w:val="1"/>
      <w:marLeft w:val="0"/>
      <w:marRight w:val="0"/>
      <w:marTop w:val="0"/>
      <w:marBottom w:val="0"/>
      <w:divBdr>
        <w:top w:val="none" w:sz="0" w:space="0" w:color="auto"/>
        <w:left w:val="none" w:sz="0" w:space="0" w:color="auto"/>
        <w:bottom w:val="none" w:sz="0" w:space="0" w:color="auto"/>
        <w:right w:val="none" w:sz="0" w:space="0" w:color="auto"/>
      </w:divBdr>
    </w:div>
    <w:div w:id="603684512">
      <w:bodyDiv w:val="1"/>
      <w:marLeft w:val="0"/>
      <w:marRight w:val="0"/>
      <w:marTop w:val="0"/>
      <w:marBottom w:val="0"/>
      <w:divBdr>
        <w:top w:val="none" w:sz="0" w:space="0" w:color="auto"/>
        <w:left w:val="none" w:sz="0" w:space="0" w:color="auto"/>
        <w:bottom w:val="none" w:sz="0" w:space="0" w:color="auto"/>
        <w:right w:val="none" w:sz="0" w:space="0" w:color="auto"/>
      </w:divBdr>
    </w:div>
    <w:div w:id="607473006">
      <w:bodyDiv w:val="1"/>
      <w:marLeft w:val="0"/>
      <w:marRight w:val="0"/>
      <w:marTop w:val="0"/>
      <w:marBottom w:val="0"/>
      <w:divBdr>
        <w:top w:val="none" w:sz="0" w:space="0" w:color="auto"/>
        <w:left w:val="none" w:sz="0" w:space="0" w:color="auto"/>
        <w:bottom w:val="none" w:sz="0" w:space="0" w:color="auto"/>
        <w:right w:val="none" w:sz="0" w:space="0" w:color="auto"/>
      </w:divBdr>
    </w:div>
    <w:div w:id="609095129">
      <w:bodyDiv w:val="1"/>
      <w:marLeft w:val="0"/>
      <w:marRight w:val="0"/>
      <w:marTop w:val="0"/>
      <w:marBottom w:val="0"/>
      <w:divBdr>
        <w:top w:val="none" w:sz="0" w:space="0" w:color="auto"/>
        <w:left w:val="none" w:sz="0" w:space="0" w:color="auto"/>
        <w:bottom w:val="none" w:sz="0" w:space="0" w:color="auto"/>
        <w:right w:val="none" w:sz="0" w:space="0" w:color="auto"/>
      </w:divBdr>
    </w:div>
    <w:div w:id="636840735">
      <w:bodyDiv w:val="1"/>
      <w:marLeft w:val="0"/>
      <w:marRight w:val="0"/>
      <w:marTop w:val="0"/>
      <w:marBottom w:val="0"/>
      <w:divBdr>
        <w:top w:val="none" w:sz="0" w:space="0" w:color="auto"/>
        <w:left w:val="none" w:sz="0" w:space="0" w:color="auto"/>
        <w:bottom w:val="none" w:sz="0" w:space="0" w:color="auto"/>
        <w:right w:val="none" w:sz="0" w:space="0" w:color="auto"/>
      </w:divBdr>
      <w:divsChild>
        <w:div w:id="1887330352">
          <w:marLeft w:val="0"/>
          <w:marRight w:val="0"/>
          <w:marTop w:val="0"/>
          <w:marBottom w:val="0"/>
          <w:divBdr>
            <w:top w:val="none" w:sz="0" w:space="0" w:color="auto"/>
            <w:left w:val="none" w:sz="0" w:space="0" w:color="auto"/>
            <w:bottom w:val="none" w:sz="0" w:space="0" w:color="auto"/>
            <w:right w:val="none" w:sz="0" w:space="0" w:color="auto"/>
          </w:divBdr>
          <w:divsChild>
            <w:div w:id="1382557455">
              <w:marLeft w:val="0"/>
              <w:marRight w:val="0"/>
              <w:marTop w:val="0"/>
              <w:marBottom w:val="0"/>
              <w:divBdr>
                <w:top w:val="none" w:sz="0" w:space="0" w:color="auto"/>
                <w:left w:val="none" w:sz="0" w:space="0" w:color="auto"/>
                <w:bottom w:val="none" w:sz="0" w:space="0" w:color="auto"/>
                <w:right w:val="none" w:sz="0" w:space="0" w:color="auto"/>
              </w:divBdr>
              <w:divsChild>
                <w:div w:id="1317958803">
                  <w:marLeft w:val="0"/>
                  <w:marRight w:val="0"/>
                  <w:marTop w:val="0"/>
                  <w:marBottom w:val="0"/>
                  <w:divBdr>
                    <w:top w:val="none" w:sz="0" w:space="0" w:color="auto"/>
                    <w:left w:val="none" w:sz="0" w:space="0" w:color="auto"/>
                    <w:bottom w:val="none" w:sz="0" w:space="0" w:color="auto"/>
                    <w:right w:val="none" w:sz="0" w:space="0" w:color="auto"/>
                  </w:divBdr>
                  <w:divsChild>
                    <w:div w:id="1119832701">
                      <w:marLeft w:val="0"/>
                      <w:marRight w:val="0"/>
                      <w:marTop w:val="0"/>
                      <w:marBottom w:val="0"/>
                      <w:divBdr>
                        <w:top w:val="none" w:sz="0" w:space="0" w:color="auto"/>
                        <w:left w:val="none" w:sz="0" w:space="0" w:color="auto"/>
                        <w:bottom w:val="none" w:sz="0" w:space="0" w:color="auto"/>
                        <w:right w:val="none" w:sz="0" w:space="0" w:color="auto"/>
                      </w:divBdr>
                      <w:divsChild>
                        <w:div w:id="888804218">
                          <w:marLeft w:val="0"/>
                          <w:marRight w:val="0"/>
                          <w:marTop w:val="0"/>
                          <w:marBottom w:val="0"/>
                          <w:divBdr>
                            <w:top w:val="none" w:sz="0" w:space="0" w:color="auto"/>
                            <w:left w:val="none" w:sz="0" w:space="0" w:color="auto"/>
                            <w:bottom w:val="none" w:sz="0" w:space="0" w:color="auto"/>
                            <w:right w:val="none" w:sz="0" w:space="0" w:color="auto"/>
                          </w:divBdr>
                          <w:divsChild>
                            <w:div w:id="870655690">
                              <w:marLeft w:val="0"/>
                              <w:marRight w:val="0"/>
                              <w:marTop w:val="0"/>
                              <w:marBottom w:val="0"/>
                              <w:divBdr>
                                <w:top w:val="none" w:sz="0" w:space="0" w:color="auto"/>
                                <w:left w:val="none" w:sz="0" w:space="0" w:color="auto"/>
                                <w:bottom w:val="none" w:sz="0" w:space="0" w:color="auto"/>
                                <w:right w:val="none" w:sz="0" w:space="0" w:color="auto"/>
                              </w:divBdr>
                              <w:divsChild>
                                <w:div w:id="551229480">
                                  <w:marLeft w:val="0"/>
                                  <w:marRight w:val="0"/>
                                  <w:marTop w:val="0"/>
                                  <w:marBottom w:val="0"/>
                                  <w:divBdr>
                                    <w:top w:val="none" w:sz="0" w:space="0" w:color="auto"/>
                                    <w:left w:val="none" w:sz="0" w:space="0" w:color="auto"/>
                                    <w:bottom w:val="none" w:sz="0" w:space="0" w:color="auto"/>
                                    <w:right w:val="none" w:sz="0" w:space="0" w:color="auto"/>
                                  </w:divBdr>
                                  <w:divsChild>
                                    <w:div w:id="350227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664058">
                          <w:marLeft w:val="0"/>
                          <w:marRight w:val="0"/>
                          <w:marTop w:val="0"/>
                          <w:marBottom w:val="0"/>
                          <w:divBdr>
                            <w:top w:val="none" w:sz="0" w:space="0" w:color="auto"/>
                            <w:left w:val="none" w:sz="0" w:space="0" w:color="auto"/>
                            <w:bottom w:val="none" w:sz="0" w:space="0" w:color="auto"/>
                            <w:right w:val="none" w:sz="0" w:space="0" w:color="auto"/>
                          </w:divBdr>
                          <w:divsChild>
                            <w:div w:id="1220172124">
                              <w:marLeft w:val="0"/>
                              <w:marRight w:val="0"/>
                              <w:marTop w:val="0"/>
                              <w:marBottom w:val="0"/>
                              <w:divBdr>
                                <w:top w:val="none" w:sz="0" w:space="0" w:color="auto"/>
                                <w:left w:val="none" w:sz="0" w:space="0" w:color="auto"/>
                                <w:bottom w:val="none" w:sz="0" w:space="0" w:color="auto"/>
                                <w:right w:val="none" w:sz="0" w:space="0" w:color="auto"/>
                              </w:divBdr>
                              <w:divsChild>
                                <w:div w:id="1551111785">
                                  <w:marLeft w:val="0"/>
                                  <w:marRight w:val="0"/>
                                  <w:marTop w:val="0"/>
                                  <w:marBottom w:val="0"/>
                                  <w:divBdr>
                                    <w:top w:val="none" w:sz="0" w:space="0" w:color="auto"/>
                                    <w:left w:val="none" w:sz="0" w:space="0" w:color="auto"/>
                                    <w:bottom w:val="none" w:sz="0" w:space="0" w:color="auto"/>
                                    <w:right w:val="none" w:sz="0" w:space="0" w:color="auto"/>
                                  </w:divBdr>
                                  <w:divsChild>
                                    <w:div w:id="538512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69915763">
      <w:marLeft w:val="640"/>
      <w:marRight w:val="0"/>
      <w:marTop w:val="0"/>
      <w:marBottom w:val="0"/>
      <w:divBdr>
        <w:top w:val="none" w:sz="0" w:space="0" w:color="auto"/>
        <w:left w:val="none" w:sz="0" w:space="0" w:color="auto"/>
        <w:bottom w:val="none" w:sz="0" w:space="0" w:color="auto"/>
        <w:right w:val="none" w:sz="0" w:space="0" w:color="auto"/>
      </w:divBdr>
    </w:div>
    <w:div w:id="687289837">
      <w:bodyDiv w:val="1"/>
      <w:marLeft w:val="0"/>
      <w:marRight w:val="0"/>
      <w:marTop w:val="0"/>
      <w:marBottom w:val="0"/>
      <w:divBdr>
        <w:top w:val="none" w:sz="0" w:space="0" w:color="auto"/>
        <w:left w:val="none" w:sz="0" w:space="0" w:color="auto"/>
        <w:bottom w:val="none" w:sz="0" w:space="0" w:color="auto"/>
        <w:right w:val="none" w:sz="0" w:space="0" w:color="auto"/>
      </w:divBdr>
    </w:div>
    <w:div w:id="691301201">
      <w:bodyDiv w:val="1"/>
      <w:marLeft w:val="0"/>
      <w:marRight w:val="0"/>
      <w:marTop w:val="0"/>
      <w:marBottom w:val="0"/>
      <w:divBdr>
        <w:top w:val="none" w:sz="0" w:space="0" w:color="auto"/>
        <w:left w:val="none" w:sz="0" w:space="0" w:color="auto"/>
        <w:bottom w:val="none" w:sz="0" w:space="0" w:color="auto"/>
        <w:right w:val="none" w:sz="0" w:space="0" w:color="auto"/>
      </w:divBdr>
      <w:divsChild>
        <w:div w:id="1549955101">
          <w:marLeft w:val="0"/>
          <w:marRight w:val="0"/>
          <w:marTop w:val="0"/>
          <w:marBottom w:val="0"/>
          <w:divBdr>
            <w:top w:val="none" w:sz="0" w:space="0" w:color="auto"/>
            <w:left w:val="none" w:sz="0" w:space="0" w:color="auto"/>
            <w:bottom w:val="none" w:sz="0" w:space="0" w:color="auto"/>
            <w:right w:val="none" w:sz="0" w:space="0" w:color="auto"/>
          </w:divBdr>
          <w:divsChild>
            <w:div w:id="47726025">
              <w:marLeft w:val="0"/>
              <w:marRight w:val="0"/>
              <w:marTop w:val="300"/>
              <w:marBottom w:val="0"/>
              <w:divBdr>
                <w:top w:val="single" w:sz="6" w:space="23" w:color="F0F0F0"/>
                <w:left w:val="single" w:sz="6" w:space="31" w:color="F0F0F0"/>
                <w:bottom w:val="single" w:sz="6" w:space="23" w:color="F0F0F0"/>
                <w:right w:val="single" w:sz="6" w:space="19" w:color="F0F0F0"/>
              </w:divBdr>
              <w:divsChild>
                <w:div w:id="630094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7703762">
      <w:marLeft w:val="640"/>
      <w:marRight w:val="0"/>
      <w:marTop w:val="0"/>
      <w:marBottom w:val="0"/>
      <w:divBdr>
        <w:top w:val="none" w:sz="0" w:space="0" w:color="auto"/>
        <w:left w:val="none" w:sz="0" w:space="0" w:color="auto"/>
        <w:bottom w:val="none" w:sz="0" w:space="0" w:color="auto"/>
        <w:right w:val="none" w:sz="0" w:space="0" w:color="auto"/>
      </w:divBdr>
    </w:div>
    <w:div w:id="716007689">
      <w:marLeft w:val="640"/>
      <w:marRight w:val="0"/>
      <w:marTop w:val="0"/>
      <w:marBottom w:val="0"/>
      <w:divBdr>
        <w:top w:val="none" w:sz="0" w:space="0" w:color="auto"/>
        <w:left w:val="none" w:sz="0" w:space="0" w:color="auto"/>
        <w:bottom w:val="none" w:sz="0" w:space="0" w:color="auto"/>
        <w:right w:val="none" w:sz="0" w:space="0" w:color="auto"/>
      </w:divBdr>
    </w:div>
    <w:div w:id="733815328">
      <w:marLeft w:val="640"/>
      <w:marRight w:val="0"/>
      <w:marTop w:val="0"/>
      <w:marBottom w:val="0"/>
      <w:divBdr>
        <w:top w:val="none" w:sz="0" w:space="0" w:color="auto"/>
        <w:left w:val="none" w:sz="0" w:space="0" w:color="auto"/>
        <w:bottom w:val="none" w:sz="0" w:space="0" w:color="auto"/>
        <w:right w:val="none" w:sz="0" w:space="0" w:color="auto"/>
      </w:divBdr>
    </w:div>
    <w:div w:id="737477547">
      <w:marLeft w:val="640"/>
      <w:marRight w:val="0"/>
      <w:marTop w:val="0"/>
      <w:marBottom w:val="0"/>
      <w:divBdr>
        <w:top w:val="none" w:sz="0" w:space="0" w:color="auto"/>
        <w:left w:val="none" w:sz="0" w:space="0" w:color="auto"/>
        <w:bottom w:val="none" w:sz="0" w:space="0" w:color="auto"/>
        <w:right w:val="none" w:sz="0" w:space="0" w:color="auto"/>
      </w:divBdr>
    </w:div>
    <w:div w:id="740177441">
      <w:marLeft w:val="640"/>
      <w:marRight w:val="0"/>
      <w:marTop w:val="0"/>
      <w:marBottom w:val="0"/>
      <w:divBdr>
        <w:top w:val="none" w:sz="0" w:space="0" w:color="auto"/>
        <w:left w:val="none" w:sz="0" w:space="0" w:color="auto"/>
        <w:bottom w:val="none" w:sz="0" w:space="0" w:color="auto"/>
        <w:right w:val="none" w:sz="0" w:space="0" w:color="auto"/>
      </w:divBdr>
    </w:div>
    <w:div w:id="748502085">
      <w:marLeft w:val="640"/>
      <w:marRight w:val="0"/>
      <w:marTop w:val="0"/>
      <w:marBottom w:val="0"/>
      <w:divBdr>
        <w:top w:val="none" w:sz="0" w:space="0" w:color="auto"/>
        <w:left w:val="none" w:sz="0" w:space="0" w:color="auto"/>
        <w:bottom w:val="none" w:sz="0" w:space="0" w:color="auto"/>
        <w:right w:val="none" w:sz="0" w:space="0" w:color="auto"/>
      </w:divBdr>
    </w:div>
    <w:div w:id="789513498">
      <w:bodyDiv w:val="1"/>
      <w:marLeft w:val="0"/>
      <w:marRight w:val="0"/>
      <w:marTop w:val="0"/>
      <w:marBottom w:val="0"/>
      <w:divBdr>
        <w:top w:val="none" w:sz="0" w:space="0" w:color="auto"/>
        <w:left w:val="none" w:sz="0" w:space="0" w:color="auto"/>
        <w:bottom w:val="none" w:sz="0" w:space="0" w:color="auto"/>
        <w:right w:val="none" w:sz="0" w:space="0" w:color="auto"/>
      </w:divBdr>
    </w:div>
    <w:div w:id="799763995">
      <w:marLeft w:val="640"/>
      <w:marRight w:val="0"/>
      <w:marTop w:val="0"/>
      <w:marBottom w:val="0"/>
      <w:divBdr>
        <w:top w:val="none" w:sz="0" w:space="0" w:color="auto"/>
        <w:left w:val="none" w:sz="0" w:space="0" w:color="auto"/>
        <w:bottom w:val="none" w:sz="0" w:space="0" w:color="auto"/>
        <w:right w:val="none" w:sz="0" w:space="0" w:color="auto"/>
      </w:divBdr>
    </w:div>
    <w:div w:id="807554368">
      <w:bodyDiv w:val="1"/>
      <w:marLeft w:val="0"/>
      <w:marRight w:val="0"/>
      <w:marTop w:val="0"/>
      <w:marBottom w:val="0"/>
      <w:divBdr>
        <w:top w:val="none" w:sz="0" w:space="0" w:color="auto"/>
        <w:left w:val="none" w:sz="0" w:space="0" w:color="auto"/>
        <w:bottom w:val="none" w:sz="0" w:space="0" w:color="auto"/>
        <w:right w:val="none" w:sz="0" w:space="0" w:color="auto"/>
      </w:divBdr>
    </w:div>
    <w:div w:id="820271606">
      <w:marLeft w:val="640"/>
      <w:marRight w:val="0"/>
      <w:marTop w:val="0"/>
      <w:marBottom w:val="0"/>
      <w:divBdr>
        <w:top w:val="none" w:sz="0" w:space="0" w:color="auto"/>
        <w:left w:val="none" w:sz="0" w:space="0" w:color="auto"/>
        <w:bottom w:val="none" w:sz="0" w:space="0" w:color="auto"/>
        <w:right w:val="none" w:sz="0" w:space="0" w:color="auto"/>
      </w:divBdr>
    </w:div>
    <w:div w:id="821460382">
      <w:marLeft w:val="640"/>
      <w:marRight w:val="0"/>
      <w:marTop w:val="0"/>
      <w:marBottom w:val="0"/>
      <w:divBdr>
        <w:top w:val="none" w:sz="0" w:space="0" w:color="auto"/>
        <w:left w:val="none" w:sz="0" w:space="0" w:color="auto"/>
        <w:bottom w:val="none" w:sz="0" w:space="0" w:color="auto"/>
        <w:right w:val="none" w:sz="0" w:space="0" w:color="auto"/>
      </w:divBdr>
    </w:div>
    <w:div w:id="828862042">
      <w:marLeft w:val="640"/>
      <w:marRight w:val="0"/>
      <w:marTop w:val="0"/>
      <w:marBottom w:val="0"/>
      <w:divBdr>
        <w:top w:val="none" w:sz="0" w:space="0" w:color="auto"/>
        <w:left w:val="none" w:sz="0" w:space="0" w:color="auto"/>
        <w:bottom w:val="none" w:sz="0" w:space="0" w:color="auto"/>
        <w:right w:val="none" w:sz="0" w:space="0" w:color="auto"/>
      </w:divBdr>
    </w:div>
    <w:div w:id="833447723">
      <w:bodyDiv w:val="1"/>
      <w:marLeft w:val="0"/>
      <w:marRight w:val="0"/>
      <w:marTop w:val="0"/>
      <w:marBottom w:val="0"/>
      <w:divBdr>
        <w:top w:val="none" w:sz="0" w:space="0" w:color="auto"/>
        <w:left w:val="none" w:sz="0" w:space="0" w:color="auto"/>
        <w:bottom w:val="none" w:sz="0" w:space="0" w:color="auto"/>
        <w:right w:val="none" w:sz="0" w:space="0" w:color="auto"/>
      </w:divBdr>
    </w:div>
    <w:div w:id="841240340">
      <w:marLeft w:val="640"/>
      <w:marRight w:val="0"/>
      <w:marTop w:val="0"/>
      <w:marBottom w:val="0"/>
      <w:divBdr>
        <w:top w:val="none" w:sz="0" w:space="0" w:color="auto"/>
        <w:left w:val="none" w:sz="0" w:space="0" w:color="auto"/>
        <w:bottom w:val="none" w:sz="0" w:space="0" w:color="auto"/>
        <w:right w:val="none" w:sz="0" w:space="0" w:color="auto"/>
      </w:divBdr>
    </w:div>
    <w:div w:id="869413508">
      <w:marLeft w:val="640"/>
      <w:marRight w:val="0"/>
      <w:marTop w:val="0"/>
      <w:marBottom w:val="0"/>
      <w:divBdr>
        <w:top w:val="none" w:sz="0" w:space="0" w:color="auto"/>
        <w:left w:val="none" w:sz="0" w:space="0" w:color="auto"/>
        <w:bottom w:val="none" w:sz="0" w:space="0" w:color="auto"/>
        <w:right w:val="none" w:sz="0" w:space="0" w:color="auto"/>
      </w:divBdr>
    </w:div>
    <w:div w:id="870653857">
      <w:bodyDiv w:val="1"/>
      <w:marLeft w:val="0"/>
      <w:marRight w:val="0"/>
      <w:marTop w:val="0"/>
      <w:marBottom w:val="0"/>
      <w:divBdr>
        <w:top w:val="none" w:sz="0" w:space="0" w:color="auto"/>
        <w:left w:val="none" w:sz="0" w:space="0" w:color="auto"/>
        <w:bottom w:val="none" w:sz="0" w:space="0" w:color="auto"/>
        <w:right w:val="none" w:sz="0" w:space="0" w:color="auto"/>
      </w:divBdr>
    </w:div>
    <w:div w:id="871304217">
      <w:bodyDiv w:val="1"/>
      <w:marLeft w:val="0"/>
      <w:marRight w:val="0"/>
      <w:marTop w:val="0"/>
      <w:marBottom w:val="0"/>
      <w:divBdr>
        <w:top w:val="none" w:sz="0" w:space="0" w:color="auto"/>
        <w:left w:val="none" w:sz="0" w:space="0" w:color="auto"/>
        <w:bottom w:val="none" w:sz="0" w:space="0" w:color="auto"/>
        <w:right w:val="none" w:sz="0" w:space="0" w:color="auto"/>
      </w:divBdr>
    </w:div>
    <w:div w:id="887648789">
      <w:marLeft w:val="640"/>
      <w:marRight w:val="0"/>
      <w:marTop w:val="0"/>
      <w:marBottom w:val="0"/>
      <w:divBdr>
        <w:top w:val="none" w:sz="0" w:space="0" w:color="auto"/>
        <w:left w:val="none" w:sz="0" w:space="0" w:color="auto"/>
        <w:bottom w:val="none" w:sz="0" w:space="0" w:color="auto"/>
        <w:right w:val="none" w:sz="0" w:space="0" w:color="auto"/>
      </w:divBdr>
    </w:div>
    <w:div w:id="899054207">
      <w:marLeft w:val="640"/>
      <w:marRight w:val="0"/>
      <w:marTop w:val="0"/>
      <w:marBottom w:val="0"/>
      <w:divBdr>
        <w:top w:val="none" w:sz="0" w:space="0" w:color="auto"/>
        <w:left w:val="none" w:sz="0" w:space="0" w:color="auto"/>
        <w:bottom w:val="none" w:sz="0" w:space="0" w:color="auto"/>
        <w:right w:val="none" w:sz="0" w:space="0" w:color="auto"/>
      </w:divBdr>
    </w:div>
    <w:div w:id="902644271">
      <w:bodyDiv w:val="1"/>
      <w:marLeft w:val="0"/>
      <w:marRight w:val="0"/>
      <w:marTop w:val="0"/>
      <w:marBottom w:val="0"/>
      <w:divBdr>
        <w:top w:val="none" w:sz="0" w:space="0" w:color="auto"/>
        <w:left w:val="none" w:sz="0" w:space="0" w:color="auto"/>
        <w:bottom w:val="none" w:sz="0" w:space="0" w:color="auto"/>
        <w:right w:val="none" w:sz="0" w:space="0" w:color="auto"/>
      </w:divBdr>
    </w:div>
    <w:div w:id="902835801">
      <w:marLeft w:val="640"/>
      <w:marRight w:val="0"/>
      <w:marTop w:val="0"/>
      <w:marBottom w:val="0"/>
      <w:divBdr>
        <w:top w:val="none" w:sz="0" w:space="0" w:color="auto"/>
        <w:left w:val="none" w:sz="0" w:space="0" w:color="auto"/>
        <w:bottom w:val="none" w:sz="0" w:space="0" w:color="auto"/>
        <w:right w:val="none" w:sz="0" w:space="0" w:color="auto"/>
      </w:divBdr>
    </w:div>
    <w:div w:id="911813177">
      <w:bodyDiv w:val="1"/>
      <w:marLeft w:val="0"/>
      <w:marRight w:val="0"/>
      <w:marTop w:val="0"/>
      <w:marBottom w:val="0"/>
      <w:divBdr>
        <w:top w:val="none" w:sz="0" w:space="0" w:color="auto"/>
        <w:left w:val="none" w:sz="0" w:space="0" w:color="auto"/>
        <w:bottom w:val="none" w:sz="0" w:space="0" w:color="auto"/>
        <w:right w:val="none" w:sz="0" w:space="0" w:color="auto"/>
      </w:divBdr>
    </w:div>
    <w:div w:id="919487005">
      <w:bodyDiv w:val="1"/>
      <w:marLeft w:val="0"/>
      <w:marRight w:val="0"/>
      <w:marTop w:val="0"/>
      <w:marBottom w:val="0"/>
      <w:divBdr>
        <w:top w:val="none" w:sz="0" w:space="0" w:color="auto"/>
        <w:left w:val="none" w:sz="0" w:space="0" w:color="auto"/>
        <w:bottom w:val="none" w:sz="0" w:space="0" w:color="auto"/>
        <w:right w:val="none" w:sz="0" w:space="0" w:color="auto"/>
      </w:divBdr>
    </w:div>
    <w:div w:id="923338873">
      <w:bodyDiv w:val="1"/>
      <w:marLeft w:val="0"/>
      <w:marRight w:val="0"/>
      <w:marTop w:val="0"/>
      <w:marBottom w:val="0"/>
      <w:divBdr>
        <w:top w:val="none" w:sz="0" w:space="0" w:color="auto"/>
        <w:left w:val="none" w:sz="0" w:space="0" w:color="auto"/>
        <w:bottom w:val="none" w:sz="0" w:space="0" w:color="auto"/>
        <w:right w:val="none" w:sz="0" w:space="0" w:color="auto"/>
      </w:divBdr>
    </w:div>
    <w:div w:id="943534423">
      <w:marLeft w:val="640"/>
      <w:marRight w:val="0"/>
      <w:marTop w:val="0"/>
      <w:marBottom w:val="0"/>
      <w:divBdr>
        <w:top w:val="none" w:sz="0" w:space="0" w:color="auto"/>
        <w:left w:val="none" w:sz="0" w:space="0" w:color="auto"/>
        <w:bottom w:val="none" w:sz="0" w:space="0" w:color="auto"/>
        <w:right w:val="none" w:sz="0" w:space="0" w:color="auto"/>
      </w:divBdr>
    </w:div>
    <w:div w:id="951471020">
      <w:bodyDiv w:val="1"/>
      <w:marLeft w:val="0"/>
      <w:marRight w:val="0"/>
      <w:marTop w:val="0"/>
      <w:marBottom w:val="0"/>
      <w:divBdr>
        <w:top w:val="none" w:sz="0" w:space="0" w:color="auto"/>
        <w:left w:val="none" w:sz="0" w:space="0" w:color="auto"/>
        <w:bottom w:val="none" w:sz="0" w:space="0" w:color="auto"/>
        <w:right w:val="none" w:sz="0" w:space="0" w:color="auto"/>
      </w:divBdr>
    </w:div>
    <w:div w:id="969672293">
      <w:marLeft w:val="640"/>
      <w:marRight w:val="0"/>
      <w:marTop w:val="0"/>
      <w:marBottom w:val="0"/>
      <w:divBdr>
        <w:top w:val="none" w:sz="0" w:space="0" w:color="auto"/>
        <w:left w:val="none" w:sz="0" w:space="0" w:color="auto"/>
        <w:bottom w:val="none" w:sz="0" w:space="0" w:color="auto"/>
        <w:right w:val="none" w:sz="0" w:space="0" w:color="auto"/>
      </w:divBdr>
    </w:div>
    <w:div w:id="993416042">
      <w:bodyDiv w:val="1"/>
      <w:marLeft w:val="0"/>
      <w:marRight w:val="0"/>
      <w:marTop w:val="0"/>
      <w:marBottom w:val="0"/>
      <w:divBdr>
        <w:top w:val="none" w:sz="0" w:space="0" w:color="auto"/>
        <w:left w:val="none" w:sz="0" w:space="0" w:color="auto"/>
        <w:bottom w:val="none" w:sz="0" w:space="0" w:color="auto"/>
        <w:right w:val="none" w:sz="0" w:space="0" w:color="auto"/>
      </w:divBdr>
    </w:div>
    <w:div w:id="1001815792">
      <w:bodyDiv w:val="1"/>
      <w:marLeft w:val="0"/>
      <w:marRight w:val="0"/>
      <w:marTop w:val="0"/>
      <w:marBottom w:val="0"/>
      <w:divBdr>
        <w:top w:val="none" w:sz="0" w:space="0" w:color="auto"/>
        <w:left w:val="none" w:sz="0" w:space="0" w:color="auto"/>
        <w:bottom w:val="none" w:sz="0" w:space="0" w:color="auto"/>
        <w:right w:val="none" w:sz="0" w:space="0" w:color="auto"/>
      </w:divBdr>
    </w:div>
    <w:div w:id="1005060888">
      <w:marLeft w:val="640"/>
      <w:marRight w:val="0"/>
      <w:marTop w:val="0"/>
      <w:marBottom w:val="0"/>
      <w:divBdr>
        <w:top w:val="none" w:sz="0" w:space="0" w:color="auto"/>
        <w:left w:val="none" w:sz="0" w:space="0" w:color="auto"/>
        <w:bottom w:val="none" w:sz="0" w:space="0" w:color="auto"/>
        <w:right w:val="none" w:sz="0" w:space="0" w:color="auto"/>
      </w:divBdr>
    </w:div>
    <w:div w:id="1008599210">
      <w:marLeft w:val="640"/>
      <w:marRight w:val="0"/>
      <w:marTop w:val="0"/>
      <w:marBottom w:val="0"/>
      <w:divBdr>
        <w:top w:val="none" w:sz="0" w:space="0" w:color="auto"/>
        <w:left w:val="none" w:sz="0" w:space="0" w:color="auto"/>
        <w:bottom w:val="none" w:sz="0" w:space="0" w:color="auto"/>
        <w:right w:val="none" w:sz="0" w:space="0" w:color="auto"/>
      </w:divBdr>
    </w:div>
    <w:div w:id="1025596468">
      <w:bodyDiv w:val="1"/>
      <w:marLeft w:val="0"/>
      <w:marRight w:val="0"/>
      <w:marTop w:val="0"/>
      <w:marBottom w:val="0"/>
      <w:divBdr>
        <w:top w:val="none" w:sz="0" w:space="0" w:color="auto"/>
        <w:left w:val="none" w:sz="0" w:space="0" w:color="auto"/>
        <w:bottom w:val="none" w:sz="0" w:space="0" w:color="auto"/>
        <w:right w:val="none" w:sz="0" w:space="0" w:color="auto"/>
      </w:divBdr>
    </w:div>
    <w:div w:id="1028289683">
      <w:marLeft w:val="640"/>
      <w:marRight w:val="0"/>
      <w:marTop w:val="0"/>
      <w:marBottom w:val="0"/>
      <w:divBdr>
        <w:top w:val="none" w:sz="0" w:space="0" w:color="auto"/>
        <w:left w:val="none" w:sz="0" w:space="0" w:color="auto"/>
        <w:bottom w:val="none" w:sz="0" w:space="0" w:color="auto"/>
        <w:right w:val="none" w:sz="0" w:space="0" w:color="auto"/>
      </w:divBdr>
    </w:div>
    <w:div w:id="1051884449">
      <w:marLeft w:val="640"/>
      <w:marRight w:val="0"/>
      <w:marTop w:val="0"/>
      <w:marBottom w:val="0"/>
      <w:divBdr>
        <w:top w:val="none" w:sz="0" w:space="0" w:color="auto"/>
        <w:left w:val="none" w:sz="0" w:space="0" w:color="auto"/>
        <w:bottom w:val="none" w:sz="0" w:space="0" w:color="auto"/>
        <w:right w:val="none" w:sz="0" w:space="0" w:color="auto"/>
      </w:divBdr>
    </w:div>
    <w:div w:id="1054162830">
      <w:marLeft w:val="640"/>
      <w:marRight w:val="0"/>
      <w:marTop w:val="0"/>
      <w:marBottom w:val="0"/>
      <w:divBdr>
        <w:top w:val="none" w:sz="0" w:space="0" w:color="auto"/>
        <w:left w:val="none" w:sz="0" w:space="0" w:color="auto"/>
        <w:bottom w:val="none" w:sz="0" w:space="0" w:color="auto"/>
        <w:right w:val="none" w:sz="0" w:space="0" w:color="auto"/>
      </w:divBdr>
    </w:div>
    <w:div w:id="1054280713">
      <w:marLeft w:val="640"/>
      <w:marRight w:val="0"/>
      <w:marTop w:val="0"/>
      <w:marBottom w:val="0"/>
      <w:divBdr>
        <w:top w:val="none" w:sz="0" w:space="0" w:color="auto"/>
        <w:left w:val="none" w:sz="0" w:space="0" w:color="auto"/>
        <w:bottom w:val="none" w:sz="0" w:space="0" w:color="auto"/>
        <w:right w:val="none" w:sz="0" w:space="0" w:color="auto"/>
      </w:divBdr>
    </w:div>
    <w:div w:id="1055202780">
      <w:bodyDiv w:val="1"/>
      <w:marLeft w:val="0"/>
      <w:marRight w:val="0"/>
      <w:marTop w:val="0"/>
      <w:marBottom w:val="0"/>
      <w:divBdr>
        <w:top w:val="none" w:sz="0" w:space="0" w:color="auto"/>
        <w:left w:val="none" w:sz="0" w:space="0" w:color="auto"/>
        <w:bottom w:val="none" w:sz="0" w:space="0" w:color="auto"/>
        <w:right w:val="none" w:sz="0" w:space="0" w:color="auto"/>
      </w:divBdr>
    </w:div>
    <w:div w:id="1072969946">
      <w:marLeft w:val="640"/>
      <w:marRight w:val="0"/>
      <w:marTop w:val="0"/>
      <w:marBottom w:val="0"/>
      <w:divBdr>
        <w:top w:val="none" w:sz="0" w:space="0" w:color="auto"/>
        <w:left w:val="none" w:sz="0" w:space="0" w:color="auto"/>
        <w:bottom w:val="none" w:sz="0" w:space="0" w:color="auto"/>
        <w:right w:val="none" w:sz="0" w:space="0" w:color="auto"/>
      </w:divBdr>
    </w:div>
    <w:div w:id="1090200617">
      <w:marLeft w:val="640"/>
      <w:marRight w:val="0"/>
      <w:marTop w:val="0"/>
      <w:marBottom w:val="0"/>
      <w:divBdr>
        <w:top w:val="none" w:sz="0" w:space="0" w:color="auto"/>
        <w:left w:val="none" w:sz="0" w:space="0" w:color="auto"/>
        <w:bottom w:val="none" w:sz="0" w:space="0" w:color="auto"/>
        <w:right w:val="none" w:sz="0" w:space="0" w:color="auto"/>
      </w:divBdr>
    </w:div>
    <w:div w:id="1098915976">
      <w:marLeft w:val="640"/>
      <w:marRight w:val="0"/>
      <w:marTop w:val="0"/>
      <w:marBottom w:val="0"/>
      <w:divBdr>
        <w:top w:val="none" w:sz="0" w:space="0" w:color="auto"/>
        <w:left w:val="none" w:sz="0" w:space="0" w:color="auto"/>
        <w:bottom w:val="none" w:sz="0" w:space="0" w:color="auto"/>
        <w:right w:val="none" w:sz="0" w:space="0" w:color="auto"/>
      </w:divBdr>
    </w:div>
    <w:div w:id="1103651894">
      <w:marLeft w:val="640"/>
      <w:marRight w:val="0"/>
      <w:marTop w:val="0"/>
      <w:marBottom w:val="0"/>
      <w:divBdr>
        <w:top w:val="none" w:sz="0" w:space="0" w:color="auto"/>
        <w:left w:val="none" w:sz="0" w:space="0" w:color="auto"/>
        <w:bottom w:val="none" w:sz="0" w:space="0" w:color="auto"/>
        <w:right w:val="none" w:sz="0" w:space="0" w:color="auto"/>
      </w:divBdr>
    </w:div>
    <w:div w:id="1118182437">
      <w:marLeft w:val="640"/>
      <w:marRight w:val="0"/>
      <w:marTop w:val="0"/>
      <w:marBottom w:val="0"/>
      <w:divBdr>
        <w:top w:val="none" w:sz="0" w:space="0" w:color="auto"/>
        <w:left w:val="none" w:sz="0" w:space="0" w:color="auto"/>
        <w:bottom w:val="none" w:sz="0" w:space="0" w:color="auto"/>
        <w:right w:val="none" w:sz="0" w:space="0" w:color="auto"/>
      </w:divBdr>
    </w:div>
    <w:div w:id="1124424142">
      <w:marLeft w:val="640"/>
      <w:marRight w:val="0"/>
      <w:marTop w:val="0"/>
      <w:marBottom w:val="0"/>
      <w:divBdr>
        <w:top w:val="none" w:sz="0" w:space="0" w:color="auto"/>
        <w:left w:val="none" w:sz="0" w:space="0" w:color="auto"/>
        <w:bottom w:val="none" w:sz="0" w:space="0" w:color="auto"/>
        <w:right w:val="none" w:sz="0" w:space="0" w:color="auto"/>
      </w:divBdr>
    </w:div>
    <w:div w:id="1132870037">
      <w:marLeft w:val="640"/>
      <w:marRight w:val="0"/>
      <w:marTop w:val="0"/>
      <w:marBottom w:val="0"/>
      <w:divBdr>
        <w:top w:val="none" w:sz="0" w:space="0" w:color="auto"/>
        <w:left w:val="none" w:sz="0" w:space="0" w:color="auto"/>
        <w:bottom w:val="none" w:sz="0" w:space="0" w:color="auto"/>
        <w:right w:val="none" w:sz="0" w:space="0" w:color="auto"/>
      </w:divBdr>
    </w:div>
    <w:div w:id="1149319751">
      <w:marLeft w:val="640"/>
      <w:marRight w:val="0"/>
      <w:marTop w:val="0"/>
      <w:marBottom w:val="0"/>
      <w:divBdr>
        <w:top w:val="none" w:sz="0" w:space="0" w:color="auto"/>
        <w:left w:val="none" w:sz="0" w:space="0" w:color="auto"/>
        <w:bottom w:val="none" w:sz="0" w:space="0" w:color="auto"/>
        <w:right w:val="none" w:sz="0" w:space="0" w:color="auto"/>
      </w:divBdr>
    </w:div>
    <w:div w:id="1160774841">
      <w:bodyDiv w:val="1"/>
      <w:marLeft w:val="0"/>
      <w:marRight w:val="0"/>
      <w:marTop w:val="0"/>
      <w:marBottom w:val="0"/>
      <w:divBdr>
        <w:top w:val="none" w:sz="0" w:space="0" w:color="auto"/>
        <w:left w:val="none" w:sz="0" w:space="0" w:color="auto"/>
        <w:bottom w:val="none" w:sz="0" w:space="0" w:color="auto"/>
        <w:right w:val="none" w:sz="0" w:space="0" w:color="auto"/>
      </w:divBdr>
    </w:div>
    <w:div w:id="1202088427">
      <w:bodyDiv w:val="1"/>
      <w:marLeft w:val="0"/>
      <w:marRight w:val="0"/>
      <w:marTop w:val="0"/>
      <w:marBottom w:val="0"/>
      <w:divBdr>
        <w:top w:val="none" w:sz="0" w:space="0" w:color="auto"/>
        <w:left w:val="none" w:sz="0" w:space="0" w:color="auto"/>
        <w:bottom w:val="none" w:sz="0" w:space="0" w:color="auto"/>
        <w:right w:val="none" w:sz="0" w:space="0" w:color="auto"/>
      </w:divBdr>
    </w:div>
    <w:div w:id="1215777588">
      <w:bodyDiv w:val="1"/>
      <w:marLeft w:val="0"/>
      <w:marRight w:val="0"/>
      <w:marTop w:val="0"/>
      <w:marBottom w:val="0"/>
      <w:divBdr>
        <w:top w:val="none" w:sz="0" w:space="0" w:color="auto"/>
        <w:left w:val="none" w:sz="0" w:space="0" w:color="auto"/>
        <w:bottom w:val="none" w:sz="0" w:space="0" w:color="auto"/>
        <w:right w:val="none" w:sz="0" w:space="0" w:color="auto"/>
      </w:divBdr>
    </w:div>
    <w:div w:id="1219852874">
      <w:marLeft w:val="640"/>
      <w:marRight w:val="0"/>
      <w:marTop w:val="0"/>
      <w:marBottom w:val="0"/>
      <w:divBdr>
        <w:top w:val="none" w:sz="0" w:space="0" w:color="auto"/>
        <w:left w:val="none" w:sz="0" w:space="0" w:color="auto"/>
        <w:bottom w:val="none" w:sz="0" w:space="0" w:color="auto"/>
        <w:right w:val="none" w:sz="0" w:space="0" w:color="auto"/>
      </w:divBdr>
    </w:div>
    <w:div w:id="1224875009">
      <w:marLeft w:val="640"/>
      <w:marRight w:val="0"/>
      <w:marTop w:val="0"/>
      <w:marBottom w:val="0"/>
      <w:divBdr>
        <w:top w:val="none" w:sz="0" w:space="0" w:color="auto"/>
        <w:left w:val="none" w:sz="0" w:space="0" w:color="auto"/>
        <w:bottom w:val="none" w:sz="0" w:space="0" w:color="auto"/>
        <w:right w:val="none" w:sz="0" w:space="0" w:color="auto"/>
      </w:divBdr>
    </w:div>
    <w:div w:id="1235624819">
      <w:bodyDiv w:val="1"/>
      <w:marLeft w:val="0"/>
      <w:marRight w:val="0"/>
      <w:marTop w:val="0"/>
      <w:marBottom w:val="0"/>
      <w:divBdr>
        <w:top w:val="none" w:sz="0" w:space="0" w:color="auto"/>
        <w:left w:val="none" w:sz="0" w:space="0" w:color="auto"/>
        <w:bottom w:val="none" w:sz="0" w:space="0" w:color="auto"/>
        <w:right w:val="none" w:sz="0" w:space="0" w:color="auto"/>
      </w:divBdr>
    </w:div>
    <w:div w:id="1238902627">
      <w:bodyDiv w:val="1"/>
      <w:marLeft w:val="0"/>
      <w:marRight w:val="0"/>
      <w:marTop w:val="0"/>
      <w:marBottom w:val="0"/>
      <w:divBdr>
        <w:top w:val="none" w:sz="0" w:space="0" w:color="auto"/>
        <w:left w:val="none" w:sz="0" w:space="0" w:color="auto"/>
        <w:bottom w:val="none" w:sz="0" w:space="0" w:color="auto"/>
        <w:right w:val="none" w:sz="0" w:space="0" w:color="auto"/>
      </w:divBdr>
    </w:div>
    <w:div w:id="1288509318">
      <w:bodyDiv w:val="1"/>
      <w:marLeft w:val="0"/>
      <w:marRight w:val="0"/>
      <w:marTop w:val="0"/>
      <w:marBottom w:val="0"/>
      <w:divBdr>
        <w:top w:val="none" w:sz="0" w:space="0" w:color="auto"/>
        <w:left w:val="none" w:sz="0" w:space="0" w:color="auto"/>
        <w:bottom w:val="none" w:sz="0" w:space="0" w:color="auto"/>
        <w:right w:val="none" w:sz="0" w:space="0" w:color="auto"/>
      </w:divBdr>
    </w:div>
    <w:div w:id="1308314313">
      <w:marLeft w:val="640"/>
      <w:marRight w:val="0"/>
      <w:marTop w:val="0"/>
      <w:marBottom w:val="0"/>
      <w:divBdr>
        <w:top w:val="none" w:sz="0" w:space="0" w:color="auto"/>
        <w:left w:val="none" w:sz="0" w:space="0" w:color="auto"/>
        <w:bottom w:val="none" w:sz="0" w:space="0" w:color="auto"/>
        <w:right w:val="none" w:sz="0" w:space="0" w:color="auto"/>
      </w:divBdr>
    </w:div>
    <w:div w:id="1329557534">
      <w:marLeft w:val="640"/>
      <w:marRight w:val="0"/>
      <w:marTop w:val="0"/>
      <w:marBottom w:val="0"/>
      <w:divBdr>
        <w:top w:val="none" w:sz="0" w:space="0" w:color="auto"/>
        <w:left w:val="none" w:sz="0" w:space="0" w:color="auto"/>
        <w:bottom w:val="none" w:sz="0" w:space="0" w:color="auto"/>
        <w:right w:val="none" w:sz="0" w:space="0" w:color="auto"/>
      </w:divBdr>
    </w:div>
    <w:div w:id="1345479220">
      <w:bodyDiv w:val="1"/>
      <w:marLeft w:val="0"/>
      <w:marRight w:val="0"/>
      <w:marTop w:val="0"/>
      <w:marBottom w:val="0"/>
      <w:divBdr>
        <w:top w:val="none" w:sz="0" w:space="0" w:color="auto"/>
        <w:left w:val="none" w:sz="0" w:space="0" w:color="auto"/>
        <w:bottom w:val="none" w:sz="0" w:space="0" w:color="auto"/>
        <w:right w:val="none" w:sz="0" w:space="0" w:color="auto"/>
      </w:divBdr>
    </w:div>
    <w:div w:id="1355307799">
      <w:bodyDiv w:val="1"/>
      <w:marLeft w:val="0"/>
      <w:marRight w:val="0"/>
      <w:marTop w:val="0"/>
      <w:marBottom w:val="0"/>
      <w:divBdr>
        <w:top w:val="none" w:sz="0" w:space="0" w:color="auto"/>
        <w:left w:val="none" w:sz="0" w:space="0" w:color="auto"/>
        <w:bottom w:val="none" w:sz="0" w:space="0" w:color="auto"/>
        <w:right w:val="none" w:sz="0" w:space="0" w:color="auto"/>
      </w:divBdr>
    </w:div>
    <w:div w:id="1369065746">
      <w:bodyDiv w:val="1"/>
      <w:marLeft w:val="0"/>
      <w:marRight w:val="0"/>
      <w:marTop w:val="0"/>
      <w:marBottom w:val="0"/>
      <w:divBdr>
        <w:top w:val="none" w:sz="0" w:space="0" w:color="auto"/>
        <w:left w:val="none" w:sz="0" w:space="0" w:color="auto"/>
        <w:bottom w:val="none" w:sz="0" w:space="0" w:color="auto"/>
        <w:right w:val="none" w:sz="0" w:space="0" w:color="auto"/>
      </w:divBdr>
    </w:div>
    <w:div w:id="1383365601">
      <w:marLeft w:val="640"/>
      <w:marRight w:val="0"/>
      <w:marTop w:val="0"/>
      <w:marBottom w:val="0"/>
      <w:divBdr>
        <w:top w:val="none" w:sz="0" w:space="0" w:color="auto"/>
        <w:left w:val="none" w:sz="0" w:space="0" w:color="auto"/>
        <w:bottom w:val="none" w:sz="0" w:space="0" w:color="auto"/>
        <w:right w:val="none" w:sz="0" w:space="0" w:color="auto"/>
      </w:divBdr>
    </w:div>
    <w:div w:id="1384138109">
      <w:bodyDiv w:val="1"/>
      <w:marLeft w:val="0"/>
      <w:marRight w:val="0"/>
      <w:marTop w:val="0"/>
      <w:marBottom w:val="0"/>
      <w:divBdr>
        <w:top w:val="none" w:sz="0" w:space="0" w:color="auto"/>
        <w:left w:val="none" w:sz="0" w:space="0" w:color="auto"/>
        <w:bottom w:val="none" w:sz="0" w:space="0" w:color="auto"/>
        <w:right w:val="none" w:sz="0" w:space="0" w:color="auto"/>
      </w:divBdr>
    </w:div>
    <w:div w:id="1398817937">
      <w:bodyDiv w:val="1"/>
      <w:marLeft w:val="0"/>
      <w:marRight w:val="0"/>
      <w:marTop w:val="0"/>
      <w:marBottom w:val="0"/>
      <w:divBdr>
        <w:top w:val="none" w:sz="0" w:space="0" w:color="auto"/>
        <w:left w:val="none" w:sz="0" w:space="0" w:color="auto"/>
        <w:bottom w:val="none" w:sz="0" w:space="0" w:color="auto"/>
        <w:right w:val="none" w:sz="0" w:space="0" w:color="auto"/>
      </w:divBdr>
    </w:div>
    <w:div w:id="1401517125">
      <w:marLeft w:val="640"/>
      <w:marRight w:val="0"/>
      <w:marTop w:val="0"/>
      <w:marBottom w:val="0"/>
      <w:divBdr>
        <w:top w:val="none" w:sz="0" w:space="0" w:color="auto"/>
        <w:left w:val="none" w:sz="0" w:space="0" w:color="auto"/>
        <w:bottom w:val="none" w:sz="0" w:space="0" w:color="auto"/>
        <w:right w:val="none" w:sz="0" w:space="0" w:color="auto"/>
      </w:divBdr>
    </w:div>
    <w:div w:id="1407876784">
      <w:bodyDiv w:val="1"/>
      <w:marLeft w:val="0"/>
      <w:marRight w:val="0"/>
      <w:marTop w:val="0"/>
      <w:marBottom w:val="0"/>
      <w:divBdr>
        <w:top w:val="none" w:sz="0" w:space="0" w:color="auto"/>
        <w:left w:val="none" w:sz="0" w:space="0" w:color="auto"/>
        <w:bottom w:val="none" w:sz="0" w:space="0" w:color="auto"/>
        <w:right w:val="none" w:sz="0" w:space="0" w:color="auto"/>
      </w:divBdr>
    </w:div>
    <w:div w:id="1408648337">
      <w:bodyDiv w:val="1"/>
      <w:marLeft w:val="0"/>
      <w:marRight w:val="0"/>
      <w:marTop w:val="0"/>
      <w:marBottom w:val="0"/>
      <w:divBdr>
        <w:top w:val="none" w:sz="0" w:space="0" w:color="auto"/>
        <w:left w:val="none" w:sz="0" w:space="0" w:color="auto"/>
        <w:bottom w:val="none" w:sz="0" w:space="0" w:color="auto"/>
        <w:right w:val="none" w:sz="0" w:space="0" w:color="auto"/>
      </w:divBdr>
    </w:div>
    <w:div w:id="1427195780">
      <w:bodyDiv w:val="1"/>
      <w:marLeft w:val="0"/>
      <w:marRight w:val="0"/>
      <w:marTop w:val="0"/>
      <w:marBottom w:val="0"/>
      <w:divBdr>
        <w:top w:val="none" w:sz="0" w:space="0" w:color="auto"/>
        <w:left w:val="none" w:sz="0" w:space="0" w:color="auto"/>
        <w:bottom w:val="none" w:sz="0" w:space="0" w:color="auto"/>
        <w:right w:val="none" w:sz="0" w:space="0" w:color="auto"/>
      </w:divBdr>
    </w:div>
    <w:div w:id="1429891446">
      <w:bodyDiv w:val="1"/>
      <w:marLeft w:val="0"/>
      <w:marRight w:val="0"/>
      <w:marTop w:val="0"/>
      <w:marBottom w:val="0"/>
      <w:divBdr>
        <w:top w:val="none" w:sz="0" w:space="0" w:color="auto"/>
        <w:left w:val="none" w:sz="0" w:space="0" w:color="auto"/>
        <w:bottom w:val="none" w:sz="0" w:space="0" w:color="auto"/>
        <w:right w:val="none" w:sz="0" w:space="0" w:color="auto"/>
      </w:divBdr>
    </w:div>
    <w:div w:id="1431851355">
      <w:marLeft w:val="640"/>
      <w:marRight w:val="0"/>
      <w:marTop w:val="0"/>
      <w:marBottom w:val="0"/>
      <w:divBdr>
        <w:top w:val="none" w:sz="0" w:space="0" w:color="auto"/>
        <w:left w:val="none" w:sz="0" w:space="0" w:color="auto"/>
        <w:bottom w:val="none" w:sz="0" w:space="0" w:color="auto"/>
        <w:right w:val="none" w:sz="0" w:space="0" w:color="auto"/>
      </w:divBdr>
    </w:div>
    <w:div w:id="1444418474">
      <w:bodyDiv w:val="1"/>
      <w:marLeft w:val="0"/>
      <w:marRight w:val="0"/>
      <w:marTop w:val="0"/>
      <w:marBottom w:val="0"/>
      <w:divBdr>
        <w:top w:val="none" w:sz="0" w:space="0" w:color="auto"/>
        <w:left w:val="none" w:sz="0" w:space="0" w:color="auto"/>
        <w:bottom w:val="none" w:sz="0" w:space="0" w:color="auto"/>
        <w:right w:val="none" w:sz="0" w:space="0" w:color="auto"/>
      </w:divBdr>
    </w:div>
    <w:div w:id="1473257638">
      <w:bodyDiv w:val="1"/>
      <w:marLeft w:val="0"/>
      <w:marRight w:val="0"/>
      <w:marTop w:val="0"/>
      <w:marBottom w:val="0"/>
      <w:divBdr>
        <w:top w:val="none" w:sz="0" w:space="0" w:color="auto"/>
        <w:left w:val="none" w:sz="0" w:space="0" w:color="auto"/>
        <w:bottom w:val="none" w:sz="0" w:space="0" w:color="auto"/>
        <w:right w:val="none" w:sz="0" w:space="0" w:color="auto"/>
      </w:divBdr>
    </w:div>
    <w:div w:id="1482386428">
      <w:marLeft w:val="640"/>
      <w:marRight w:val="0"/>
      <w:marTop w:val="0"/>
      <w:marBottom w:val="0"/>
      <w:divBdr>
        <w:top w:val="none" w:sz="0" w:space="0" w:color="auto"/>
        <w:left w:val="none" w:sz="0" w:space="0" w:color="auto"/>
        <w:bottom w:val="none" w:sz="0" w:space="0" w:color="auto"/>
        <w:right w:val="none" w:sz="0" w:space="0" w:color="auto"/>
      </w:divBdr>
    </w:div>
    <w:div w:id="1489400742">
      <w:bodyDiv w:val="1"/>
      <w:marLeft w:val="0"/>
      <w:marRight w:val="0"/>
      <w:marTop w:val="0"/>
      <w:marBottom w:val="0"/>
      <w:divBdr>
        <w:top w:val="none" w:sz="0" w:space="0" w:color="auto"/>
        <w:left w:val="none" w:sz="0" w:space="0" w:color="auto"/>
        <w:bottom w:val="none" w:sz="0" w:space="0" w:color="auto"/>
        <w:right w:val="none" w:sz="0" w:space="0" w:color="auto"/>
      </w:divBdr>
    </w:div>
    <w:div w:id="1495990685">
      <w:bodyDiv w:val="1"/>
      <w:marLeft w:val="0"/>
      <w:marRight w:val="0"/>
      <w:marTop w:val="0"/>
      <w:marBottom w:val="0"/>
      <w:divBdr>
        <w:top w:val="none" w:sz="0" w:space="0" w:color="auto"/>
        <w:left w:val="none" w:sz="0" w:space="0" w:color="auto"/>
        <w:bottom w:val="none" w:sz="0" w:space="0" w:color="auto"/>
        <w:right w:val="none" w:sz="0" w:space="0" w:color="auto"/>
      </w:divBdr>
    </w:div>
    <w:div w:id="1510367382">
      <w:marLeft w:val="640"/>
      <w:marRight w:val="0"/>
      <w:marTop w:val="0"/>
      <w:marBottom w:val="0"/>
      <w:divBdr>
        <w:top w:val="none" w:sz="0" w:space="0" w:color="auto"/>
        <w:left w:val="none" w:sz="0" w:space="0" w:color="auto"/>
        <w:bottom w:val="none" w:sz="0" w:space="0" w:color="auto"/>
        <w:right w:val="none" w:sz="0" w:space="0" w:color="auto"/>
      </w:divBdr>
    </w:div>
    <w:div w:id="1512525739">
      <w:bodyDiv w:val="1"/>
      <w:marLeft w:val="0"/>
      <w:marRight w:val="0"/>
      <w:marTop w:val="0"/>
      <w:marBottom w:val="0"/>
      <w:divBdr>
        <w:top w:val="none" w:sz="0" w:space="0" w:color="auto"/>
        <w:left w:val="none" w:sz="0" w:space="0" w:color="auto"/>
        <w:bottom w:val="none" w:sz="0" w:space="0" w:color="auto"/>
        <w:right w:val="none" w:sz="0" w:space="0" w:color="auto"/>
      </w:divBdr>
    </w:div>
    <w:div w:id="1524590786">
      <w:marLeft w:val="640"/>
      <w:marRight w:val="0"/>
      <w:marTop w:val="0"/>
      <w:marBottom w:val="0"/>
      <w:divBdr>
        <w:top w:val="none" w:sz="0" w:space="0" w:color="auto"/>
        <w:left w:val="none" w:sz="0" w:space="0" w:color="auto"/>
        <w:bottom w:val="none" w:sz="0" w:space="0" w:color="auto"/>
        <w:right w:val="none" w:sz="0" w:space="0" w:color="auto"/>
      </w:divBdr>
    </w:div>
    <w:div w:id="1524704617">
      <w:bodyDiv w:val="1"/>
      <w:marLeft w:val="0"/>
      <w:marRight w:val="0"/>
      <w:marTop w:val="0"/>
      <w:marBottom w:val="0"/>
      <w:divBdr>
        <w:top w:val="none" w:sz="0" w:space="0" w:color="auto"/>
        <w:left w:val="none" w:sz="0" w:space="0" w:color="auto"/>
        <w:bottom w:val="none" w:sz="0" w:space="0" w:color="auto"/>
        <w:right w:val="none" w:sz="0" w:space="0" w:color="auto"/>
      </w:divBdr>
      <w:divsChild>
        <w:div w:id="859393976">
          <w:marLeft w:val="0"/>
          <w:marRight w:val="0"/>
          <w:marTop w:val="0"/>
          <w:marBottom w:val="0"/>
          <w:divBdr>
            <w:top w:val="none" w:sz="0" w:space="0" w:color="auto"/>
            <w:left w:val="none" w:sz="0" w:space="0" w:color="auto"/>
            <w:bottom w:val="none" w:sz="0" w:space="0" w:color="auto"/>
            <w:right w:val="none" w:sz="0" w:space="0" w:color="auto"/>
          </w:divBdr>
          <w:divsChild>
            <w:div w:id="1116023055">
              <w:marLeft w:val="0"/>
              <w:marRight w:val="0"/>
              <w:marTop w:val="300"/>
              <w:marBottom w:val="0"/>
              <w:divBdr>
                <w:top w:val="single" w:sz="6" w:space="23" w:color="F0F0F0"/>
                <w:left w:val="single" w:sz="6" w:space="31" w:color="F0F0F0"/>
                <w:bottom w:val="single" w:sz="6" w:space="23" w:color="F0F0F0"/>
                <w:right w:val="single" w:sz="6" w:space="19" w:color="F0F0F0"/>
              </w:divBdr>
              <w:divsChild>
                <w:div w:id="661809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168080">
      <w:bodyDiv w:val="1"/>
      <w:marLeft w:val="0"/>
      <w:marRight w:val="0"/>
      <w:marTop w:val="0"/>
      <w:marBottom w:val="0"/>
      <w:divBdr>
        <w:top w:val="none" w:sz="0" w:space="0" w:color="auto"/>
        <w:left w:val="none" w:sz="0" w:space="0" w:color="auto"/>
        <w:bottom w:val="none" w:sz="0" w:space="0" w:color="auto"/>
        <w:right w:val="none" w:sz="0" w:space="0" w:color="auto"/>
      </w:divBdr>
    </w:div>
    <w:div w:id="1569684939">
      <w:bodyDiv w:val="1"/>
      <w:marLeft w:val="0"/>
      <w:marRight w:val="0"/>
      <w:marTop w:val="0"/>
      <w:marBottom w:val="0"/>
      <w:divBdr>
        <w:top w:val="none" w:sz="0" w:space="0" w:color="auto"/>
        <w:left w:val="none" w:sz="0" w:space="0" w:color="auto"/>
        <w:bottom w:val="none" w:sz="0" w:space="0" w:color="auto"/>
        <w:right w:val="none" w:sz="0" w:space="0" w:color="auto"/>
      </w:divBdr>
    </w:div>
    <w:div w:id="1573466536">
      <w:marLeft w:val="640"/>
      <w:marRight w:val="0"/>
      <w:marTop w:val="0"/>
      <w:marBottom w:val="0"/>
      <w:divBdr>
        <w:top w:val="none" w:sz="0" w:space="0" w:color="auto"/>
        <w:left w:val="none" w:sz="0" w:space="0" w:color="auto"/>
        <w:bottom w:val="none" w:sz="0" w:space="0" w:color="auto"/>
        <w:right w:val="none" w:sz="0" w:space="0" w:color="auto"/>
      </w:divBdr>
    </w:div>
    <w:div w:id="1585140001">
      <w:marLeft w:val="640"/>
      <w:marRight w:val="0"/>
      <w:marTop w:val="0"/>
      <w:marBottom w:val="0"/>
      <w:divBdr>
        <w:top w:val="none" w:sz="0" w:space="0" w:color="auto"/>
        <w:left w:val="none" w:sz="0" w:space="0" w:color="auto"/>
        <w:bottom w:val="none" w:sz="0" w:space="0" w:color="auto"/>
        <w:right w:val="none" w:sz="0" w:space="0" w:color="auto"/>
      </w:divBdr>
    </w:div>
    <w:div w:id="1586569424">
      <w:marLeft w:val="640"/>
      <w:marRight w:val="0"/>
      <w:marTop w:val="0"/>
      <w:marBottom w:val="0"/>
      <w:divBdr>
        <w:top w:val="none" w:sz="0" w:space="0" w:color="auto"/>
        <w:left w:val="none" w:sz="0" w:space="0" w:color="auto"/>
        <w:bottom w:val="none" w:sz="0" w:space="0" w:color="auto"/>
        <w:right w:val="none" w:sz="0" w:space="0" w:color="auto"/>
      </w:divBdr>
    </w:div>
    <w:div w:id="1586845183">
      <w:marLeft w:val="640"/>
      <w:marRight w:val="0"/>
      <w:marTop w:val="0"/>
      <w:marBottom w:val="0"/>
      <w:divBdr>
        <w:top w:val="none" w:sz="0" w:space="0" w:color="auto"/>
        <w:left w:val="none" w:sz="0" w:space="0" w:color="auto"/>
        <w:bottom w:val="none" w:sz="0" w:space="0" w:color="auto"/>
        <w:right w:val="none" w:sz="0" w:space="0" w:color="auto"/>
      </w:divBdr>
    </w:div>
    <w:div w:id="1615014125">
      <w:bodyDiv w:val="1"/>
      <w:marLeft w:val="0"/>
      <w:marRight w:val="0"/>
      <w:marTop w:val="0"/>
      <w:marBottom w:val="0"/>
      <w:divBdr>
        <w:top w:val="none" w:sz="0" w:space="0" w:color="auto"/>
        <w:left w:val="none" w:sz="0" w:space="0" w:color="auto"/>
        <w:bottom w:val="none" w:sz="0" w:space="0" w:color="auto"/>
        <w:right w:val="none" w:sz="0" w:space="0" w:color="auto"/>
      </w:divBdr>
    </w:div>
    <w:div w:id="1617954064">
      <w:marLeft w:val="640"/>
      <w:marRight w:val="0"/>
      <w:marTop w:val="0"/>
      <w:marBottom w:val="0"/>
      <w:divBdr>
        <w:top w:val="none" w:sz="0" w:space="0" w:color="auto"/>
        <w:left w:val="none" w:sz="0" w:space="0" w:color="auto"/>
        <w:bottom w:val="none" w:sz="0" w:space="0" w:color="auto"/>
        <w:right w:val="none" w:sz="0" w:space="0" w:color="auto"/>
      </w:divBdr>
    </w:div>
    <w:div w:id="1622882847">
      <w:marLeft w:val="640"/>
      <w:marRight w:val="0"/>
      <w:marTop w:val="0"/>
      <w:marBottom w:val="0"/>
      <w:divBdr>
        <w:top w:val="none" w:sz="0" w:space="0" w:color="auto"/>
        <w:left w:val="none" w:sz="0" w:space="0" w:color="auto"/>
        <w:bottom w:val="none" w:sz="0" w:space="0" w:color="auto"/>
        <w:right w:val="none" w:sz="0" w:space="0" w:color="auto"/>
      </w:divBdr>
    </w:div>
    <w:div w:id="1623030556">
      <w:bodyDiv w:val="1"/>
      <w:marLeft w:val="0"/>
      <w:marRight w:val="0"/>
      <w:marTop w:val="0"/>
      <w:marBottom w:val="0"/>
      <w:divBdr>
        <w:top w:val="none" w:sz="0" w:space="0" w:color="auto"/>
        <w:left w:val="none" w:sz="0" w:space="0" w:color="auto"/>
        <w:bottom w:val="none" w:sz="0" w:space="0" w:color="auto"/>
        <w:right w:val="none" w:sz="0" w:space="0" w:color="auto"/>
      </w:divBdr>
    </w:div>
    <w:div w:id="1632519201">
      <w:marLeft w:val="640"/>
      <w:marRight w:val="0"/>
      <w:marTop w:val="0"/>
      <w:marBottom w:val="0"/>
      <w:divBdr>
        <w:top w:val="none" w:sz="0" w:space="0" w:color="auto"/>
        <w:left w:val="none" w:sz="0" w:space="0" w:color="auto"/>
        <w:bottom w:val="none" w:sz="0" w:space="0" w:color="auto"/>
        <w:right w:val="none" w:sz="0" w:space="0" w:color="auto"/>
      </w:divBdr>
    </w:div>
    <w:div w:id="1632976693">
      <w:bodyDiv w:val="1"/>
      <w:marLeft w:val="0"/>
      <w:marRight w:val="0"/>
      <w:marTop w:val="0"/>
      <w:marBottom w:val="0"/>
      <w:divBdr>
        <w:top w:val="none" w:sz="0" w:space="0" w:color="auto"/>
        <w:left w:val="none" w:sz="0" w:space="0" w:color="auto"/>
        <w:bottom w:val="none" w:sz="0" w:space="0" w:color="auto"/>
        <w:right w:val="none" w:sz="0" w:space="0" w:color="auto"/>
      </w:divBdr>
    </w:div>
    <w:div w:id="1635212748">
      <w:bodyDiv w:val="1"/>
      <w:marLeft w:val="0"/>
      <w:marRight w:val="0"/>
      <w:marTop w:val="0"/>
      <w:marBottom w:val="0"/>
      <w:divBdr>
        <w:top w:val="none" w:sz="0" w:space="0" w:color="auto"/>
        <w:left w:val="none" w:sz="0" w:space="0" w:color="auto"/>
        <w:bottom w:val="none" w:sz="0" w:space="0" w:color="auto"/>
        <w:right w:val="none" w:sz="0" w:space="0" w:color="auto"/>
      </w:divBdr>
    </w:div>
    <w:div w:id="1657995990">
      <w:marLeft w:val="640"/>
      <w:marRight w:val="0"/>
      <w:marTop w:val="0"/>
      <w:marBottom w:val="0"/>
      <w:divBdr>
        <w:top w:val="none" w:sz="0" w:space="0" w:color="auto"/>
        <w:left w:val="none" w:sz="0" w:space="0" w:color="auto"/>
        <w:bottom w:val="none" w:sz="0" w:space="0" w:color="auto"/>
        <w:right w:val="none" w:sz="0" w:space="0" w:color="auto"/>
      </w:divBdr>
    </w:div>
    <w:div w:id="1665014405">
      <w:marLeft w:val="640"/>
      <w:marRight w:val="0"/>
      <w:marTop w:val="0"/>
      <w:marBottom w:val="0"/>
      <w:divBdr>
        <w:top w:val="none" w:sz="0" w:space="0" w:color="auto"/>
        <w:left w:val="none" w:sz="0" w:space="0" w:color="auto"/>
        <w:bottom w:val="none" w:sz="0" w:space="0" w:color="auto"/>
        <w:right w:val="none" w:sz="0" w:space="0" w:color="auto"/>
      </w:divBdr>
    </w:div>
    <w:div w:id="1670132920">
      <w:marLeft w:val="640"/>
      <w:marRight w:val="0"/>
      <w:marTop w:val="0"/>
      <w:marBottom w:val="0"/>
      <w:divBdr>
        <w:top w:val="none" w:sz="0" w:space="0" w:color="auto"/>
        <w:left w:val="none" w:sz="0" w:space="0" w:color="auto"/>
        <w:bottom w:val="none" w:sz="0" w:space="0" w:color="auto"/>
        <w:right w:val="none" w:sz="0" w:space="0" w:color="auto"/>
      </w:divBdr>
    </w:div>
    <w:div w:id="1685478976">
      <w:bodyDiv w:val="1"/>
      <w:marLeft w:val="0"/>
      <w:marRight w:val="0"/>
      <w:marTop w:val="0"/>
      <w:marBottom w:val="0"/>
      <w:divBdr>
        <w:top w:val="none" w:sz="0" w:space="0" w:color="auto"/>
        <w:left w:val="none" w:sz="0" w:space="0" w:color="auto"/>
        <w:bottom w:val="none" w:sz="0" w:space="0" w:color="auto"/>
        <w:right w:val="none" w:sz="0" w:space="0" w:color="auto"/>
      </w:divBdr>
    </w:div>
    <w:div w:id="1686398187">
      <w:bodyDiv w:val="1"/>
      <w:marLeft w:val="0"/>
      <w:marRight w:val="0"/>
      <w:marTop w:val="0"/>
      <w:marBottom w:val="0"/>
      <w:divBdr>
        <w:top w:val="none" w:sz="0" w:space="0" w:color="auto"/>
        <w:left w:val="none" w:sz="0" w:space="0" w:color="auto"/>
        <w:bottom w:val="none" w:sz="0" w:space="0" w:color="auto"/>
        <w:right w:val="none" w:sz="0" w:space="0" w:color="auto"/>
      </w:divBdr>
    </w:div>
    <w:div w:id="1695813017">
      <w:bodyDiv w:val="1"/>
      <w:marLeft w:val="0"/>
      <w:marRight w:val="0"/>
      <w:marTop w:val="0"/>
      <w:marBottom w:val="0"/>
      <w:divBdr>
        <w:top w:val="none" w:sz="0" w:space="0" w:color="auto"/>
        <w:left w:val="none" w:sz="0" w:space="0" w:color="auto"/>
        <w:bottom w:val="none" w:sz="0" w:space="0" w:color="auto"/>
        <w:right w:val="none" w:sz="0" w:space="0" w:color="auto"/>
      </w:divBdr>
    </w:div>
    <w:div w:id="1701511244">
      <w:marLeft w:val="640"/>
      <w:marRight w:val="0"/>
      <w:marTop w:val="0"/>
      <w:marBottom w:val="0"/>
      <w:divBdr>
        <w:top w:val="none" w:sz="0" w:space="0" w:color="auto"/>
        <w:left w:val="none" w:sz="0" w:space="0" w:color="auto"/>
        <w:bottom w:val="none" w:sz="0" w:space="0" w:color="auto"/>
        <w:right w:val="none" w:sz="0" w:space="0" w:color="auto"/>
      </w:divBdr>
    </w:div>
    <w:div w:id="1724669059">
      <w:bodyDiv w:val="1"/>
      <w:marLeft w:val="0"/>
      <w:marRight w:val="0"/>
      <w:marTop w:val="0"/>
      <w:marBottom w:val="0"/>
      <w:divBdr>
        <w:top w:val="none" w:sz="0" w:space="0" w:color="auto"/>
        <w:left w:val="none" w:sz="0" w:space="0" w:color="auto"/>
        <w:bottom w:val="none" w:sz="0" w:space="0" w:color="auto"/>
        <w:right w:val="none" w:sz="0" w:space="0" w:color="auto"/>
      </w:divBdr>
    </w:div>
    <w:div w:id="1746758095">
      <w:marLeft w:val="640"/>
      <w:marRight w:val="0"/>
      <w:marTop w:val="0"/>
      <w:marBottom w:val="0"/>
      <w:divBdr>
        <w:top w:val="none" w:sz="0" w:space="0" w:color="auto"/>
        <w:left w:val="none" w:sz="0" w:space="0" w:color="auto"/>
        <w:bottom w:val="none" w:sz="0" w:space="0" w:color="auto"/>
        <w:right w:val="none" w:sz="0" w:space="0" w:color="auto"/>
      </w:divBdr>
    </w:div>
    <w:div w:id="1749770457">
      <w:marLeft w:val="640"/>
      <w:marRight w:val="0"/>
      <w:marTop w:val="0"/>
      <w:marBottom w:val="0"/>
      <w:divBdr>
        <w:top w:val="none" w:sz="0" w:space="0" w:color="auto"/>
        <w:left w:val="none" w:sz="0" w:space="0" w:color="auto"/>
        <w:bottom w:val="none" w:sz="0" w:space="0" w:color="auto"/>
        <w:right w:val="none" w:sz="0" w:space="0" w:color="auto"/>
      </w:divBdr>
    </w:div>
    <w:div w:id="1775855851">
      <w:bodyDiv w:val="1"/>
      <w:marLeft w:val="0"/>
      <w:marRight w:val="0"/>
      <w:marTop w:val="0"/>
      <w:marBottom w:val="0"/>
      <w:divBdr>
        <w:top w:val="none" w:sz="0" w:space="0" w:color="auto"/>
        <w:left w:val="none" w:sz="0" w:space="0" w:color="auto"/>
        <w:bottom w:val="none" w:sz="0" w:space="0" w:color="auto"/>
        <w:right w:val="none" w:sz="0" w:space="0" w:color="auto"/>
      </w:divBdr>
    </w:div>
    <w:div w:id="1777167277">
      <w:bodyDiv w:val="1"/>
      <w:marLeft w:val="0"/>
      <w:marRight w:val="0"/>
      <w:marTop w:val="0"/>
      <w:marBottom w:val="0"/>
      <w:divBdr>
        <w:top w:val="none" w:sz="0" w:space="0" w:color="auto"/>
        <w:left w:val="none" w:sz="0" w:space="0" w:color="auto"/>
        <w:bottom w:val="none" w:sz="0" w:space="0" w:color="auto"/>
        <w:right w:val="none" w:sz="0" w:space="0" w:color="auto"/>
      </w:divBdr>
    </w:div>
    <w:div w:id="1788040333">
      <w:bodyDiv w:val="1"/>
      <w:marLeft w:val="0"/>
      <w:marRight w:val="0"/>
      <w:marTop w:val="0"/>
      <w:marBottom w:val="0"/>
      <w:divBdr>
        <w:top w:val="none" w:sz="0" w:space="0" w:color="auto"/>
        <w:left w:val="none" w:sz="0" w:space="0" w:color="auto"/>
        <w:bottom w:val="none" w:sz="0" w:space="0" w:color="auto"/>
        <w:right w:val="none" w:sz="0" w:space="0" w:color="auto"/>
      </w:divBdr>
    </w:div>
    <w:div w:id="1801605445">
      <w:bodyDiv w:val="1"/>
      <w:marLeft w:val="0"/>
      <w:marRight w:val="0"/>
      <w:marTop w:val="0"/>
      <w:marBottom w:val="0"/>
      <w:divBdr>
        <w:top w:val="none" w:sz="0" w:space="0" w:color="auto"/>
        <w:left w:val="none" w:sz="0" w:space="0" w:color="auto"/>
        <w:bottom w:val="none" w:sz="0" w:space="0" w:color="auto"/>
        <w:right w:val="none" w:sz="0" w:space="0" w:color="auto"/>
      </w:divBdr>
    </w:div>
    <w:div w:id="1808543441">
      <w:bodyDiv w:val="1"/>
      <w:marLeft w:val="0"/>
      <w:marRight w:val="0"/>
      <w:marTop w:val="0"/>
      <w:marBottom w:val="0"/>
      <w:divBdr>
        <w:top w:val="none" w:sz="0" w:space="0" w:color="auto"/>
        <w:left w:val="none" w:sz="0" w:space="0" w:color="auto"/>
        <w:bottom w:val="none" w:sz="0" w:space="0" w:color="auto"/>
        <w:right w:val="none" w:sz="0" w:space="0" w:color="auto"/>
      </w:divBdr>
    </w:div>
    <w:div w:id="1810443017">
      <w:marLeft w:val="640"/>
      <w:marRight w:val="0"/>
      <w:marTop w:val="0"/>
      <w:marBottom w:val="0"/>
      <w:divBdr>
        <w:top w:val="none" w:sz="0" w:space="0" w:color="auto"/>
        <w:left w:val="none" w:sz="0" w:space="0" w:color="auto"/>
        <w:bottom w:val="none" w:sz="0" w:space="0" w:color="auto"/>
        <w:right w:val="none" w:sz="0" w:space="0" w:color="auto"/>
      </w:divBdr>
    </w:div>
    <w:div w:id="1825854719">
      <w:marLeft w:val="640"/>
      <w:marRight w:val="0"/>
      <w:marTop w:val="0"/>
      <w:marBottom w:val="0"/>
      <w:divBdr>
        <w:top w:val="none" w:sz="0" w:space="0" w:color="auto"/>
        <w:left w:val="none" w:sz="0" w:space="0" w:color="auto"/>
        <w:bottom w:val="none" w:sz="0" w:space="0" w:color="auto"/>
        <w:right w:val="none" w:sz="0" w:space="0" w:color="auto"/>
      </w:divBdr>
    </w:div>
    <w:div w:id="1827474865">
      <w:marLeft w:val="640"/>
      <w:marRight w:val="0"/>
      <w:marTop w:val="0"/>
      <w:marBottom w:val="0"/>
      <w:divBdr>
        <w:top w:val="none" w:sz="0" w:space="0" w:color="auto"/>
        <w:left w:val="none" w:sz="0" w:space="0" w:color="auto"/>
        <w:bottom w:val="none" w:sz="0" w:space="0" w:color="auto"/>
        <w:right w:val="none" w:sz="0" w:space="0" w:color="auto"/>
      </w:divBdr>
    </w:div>
    <w:div w:id="1833057489">
      <w:marLeft w:val="640"/>
      <w:marRight w:val="0"/>
      <w:marTop w:val="0"/>
      <w:marBottom w:val="0"/>
      <w:divBdr>
        <w:top w:val="none" w:sz="0" w:space="0" w:color="auto"/>
        <w:left w:val="none" w:sz="0" w:space="0" w:color="auto"/>
        <w:bottom w:val="none" w:sz="0" w:space="0" w:color="auto"/>
        <w:right w:val="none" w:sz="0" w:space="0" w:color="auto"/>
      </w:divBdr>
    </w:div>
    <w:div w:id="1839349802">
      <w:bodyDiv w:val="1"/>
      <w:marLeft w:val="0"/>
      <w:marRight w:val="0"/>
      <w:marTop w:val="0"/>
      <w:marBottom w:val="0"/>
      <w:divBdr>
        <w:top w:val="none" w:sz="0" w:space="0" w:color="auto"/>
        <w:left w:val="none" w:sz="0" w:space="0" w:color="auto"/>
        <w:bottom w:val="none" w:sz="0" w:space="0" w:color="auto"/>
        <w:right w:val="none" w:sz="0" w:space="0" w:color="auto"/>
      </w:divBdr>
    </w:div>
    <w:div w:id="1840002831">
      <w:bodyDiv w:val="1"/>
      <w:marLeft w:val="0"/>
      <w:marRight w:val="0"/>
      <w:marTop w:val="0"/>
      <w:marBottom w:val="0"/>
      <w:divBdr>
        <w:top w:val="none" w:sz="0" w:space="0" w:color="auto"/>
        <w:left w:val="none" w:sz="0" w:space="0" w:color="auto"/>
        <w:bottom w:val="none" w:sz="0" w:space="0" w:color="auto"/>
        <w:right w:val="none" w:sz="0" w:space="0" w:color="auto"/>
      </w:divBdr>
    </w:div>
    <w:div w:id="1851291575">
      <w:bodyDiv w:val="1"/>
      <w:marLeft w:val="0"/>
      <w:marRight w:val="0"/>
      <w:marTop w:val="0"/>
      <w:marBottom w:val="0"/>
      <w:divBdr>
        <w:top w:val="none" w:sz="0" w:space="0" w:color="auto"/>
        <w:left w:val="none" w:sz="0" w:space="0" w:color="auto"/>
        <w:bottom w:val="none" w:sz="0" w:space="0" w:color="auto"/>
        <w:right w:val="none" w:sz="0" w:space="0" w:color="auto"/>
      </w:divBdr>
    </w:div>
    <w:div w:id="1863351060">
      <w:marLeft w:val="640"/>
      <w:marRight w:val="0"/>
      <w:marTop w:val="0"/>
      <w:marBottom w:val="0"/>
      <w:divBdr>
        <w:top w:val="none" w:sz="0" w:space="0" w:color="auto"/>
        <w:left w:val="none" w:sz="0" w:space="0" w:color="auto"/>
        <w:bottom w:val="none" w:sz="0" w:space="0" w:color="auto"/>
        <w:right w:val="none" w:sz="0" w:space="0" w:color="auto"/>
      </w:divBdr>
    </w:div>
    <w:div w:id="1869830033">
      <w:bodyDiv w:val="1"/>
      <w:marLeft w:val="0"/>
      <w:marRight w:val="0"/>
      <w:marTop w:val="0"/>
      <w:marBottom w:val="0"/>
      <w:divBdr>
        <w:top w:val="none" w:sz="0" w:space="0" w:color="auto"/>
        <w:left w:val="none" w:sz="0" w:space="0" w:color="auto"/>
        <w:bottom w:val="none" w:sz="0" w:space="0" w:color="auto"/>
        <w:right w:val="none" w:sz="0" w:space="0" w:color="auto"/>
      </w:divBdr>
    </w:div>
    <w:div w:id="1884126364">
      <w:bodyDiv w:val="1"/>
      <w:marLeft w:val="0"/>
      <w:marRight w:val="0"/>
      <w:marTop w:val="0"/>
      <w:marBottom w:val="0"/>
      <w:divBdr>
        <w:top w:val="none" w:sz="0" w:space="0" w:color="auto"/>
        <w:left w:val="none" w:sz="0" w:space="0" w:color="auto"/>
        <w:bottom w:val="none" w:sz="0" w:space="0" w:color="auto"/>
        <w:right w:val="none" w:sz="0" w:space="0" w:color="auto"/>
      </w:divBdr>
    </w:div>
    <w:div w:id="1885484790">
      <w:marLeft w:val="640"/>
      <w:marRight w:val="0"/>
      <w:marTop w:val="0"/>
      <w:marBottom w:val="0"/>
      <w:divBdr>
        <w:top w:val="none" w:sz="0" w:space="0" w:color="auto"/>
        <w:left w:val="none" w:sz="0" w:space="0" w:color="auto"/>
        <w:bottom w:val="none" w:sz="0" w:space="0" w:color="auto"/>
        <w:right w:val="none" w:sz="0" w:space="0" w:color="auto"/>
      </w:divBdr>
    </w:div>
    <w:div w:id="1895580298">
      <w:marLeft w:val="640"/>
      <w:marRight w:val="0"/>
      <w:marTop w:val="0"/>
      <w:marBottom w:val="0"/>
      <w:divBdr>
        <w:top w:val="none" w:sz="0" w:space="0" w:color="auto"/>
        <w:left w:val="none" w:sz="0" w:space="0" w:color="auto"/>
        <w:bottom w:val="none" w:sz="0" w:space="0" w:color="auto"/>
        <w:right w:val="none" w:sz="0" w:space="0" w:color="auto"/>
      </w:divBdr>
    </w:div>
    <w:div w:id="1901860138">
      <w:marLeft w:val="640"/>
      <w:marRight w:val="0"/>
      <w:marTop w:val="0"/>
      <w:marBottom w:val="0"/>
      <w:divBdr>
        <w:top w:val="none" w:sz="0" w:space="0" w:color="auto"/>
        <w:left w:val="none" w:sz="0" w:space="0" w:color="auto"/>
        <w:bottom w:val="none" w:sz="0" w:space="0" w:color="auto"/>
        <w:right w:val="none" w:sz="0" w:space="0" w:color="auto"/>
      </w:divBdr>
    </w:div>
    <w:div w:id="1931155710">
      <w:marLeft w:val="640"/>
      <w:marRight w:val="0"/>
      <w:marTop w:val="0"/>
      <w:marBottom w:val="0"/>
      <w:divBdr>
        <w:top w:val="none" w:sz="0" w:space="0" w:color="auto"/>
        <w:left w:val="none" w:sz="0" w:space="0" w:color="auto"/>
        <w:bottom w:val="none" w:sz="0" w:space="0" w:color="auto"/>
        <w:right w:val="none" w:sz="0" w:space="0" w:color="auto"/>
      </w:divBdr>
    </w:div>
    <w:div w:id="1952324843">
      <w:bodyDiv w:val="1"/>
      <w:marLeft w:val="0"/>
      <w:marRight w:val="0"/>
      <w:marTop w:val="0"/>
      <w:marBottom w:val="0"/>
      <w:divBdr>
        <w:top w:val="none" w:sz="0" w:space="0" w:color="auto"/>
        <w:left w:val="none" w:sz="0" w:space="0" w:color="auto"/>
        <w:bottom w:val="none" w:sz="0" w:space="0" w:color="auto"/>
        <w:right w:val="none" w:sz="0" w:space="0" w:color="auto"/>
      </w:divBdr>
    </w:div>
    <w:div w:id="1967808291">
      <w:bodyDiv w:val="1"/>
      <w:marLeft w:val="0"/>
      <w:marRight w:val="0"/>
      <w:marTop w:val="0"/>
      <w:marBottom w:val="0"/>
      <w:divBdr>
        <w:top w:val="none" w:sz="0" w:space="0" w:color="auto"/>
        <w:left w:val="none" w:sz="0" w:space="0" w:color="auto"/>
        <w:bottom w:val="none" w:sz="0" w:space="0" w:color="auto"/>
        <w:right w:val="none" w:sz="0" w:space="0" w:color="auto"/>
      </w:divBdr>
    </w:div>
    <w:div w:id="1975211548">
      <w:bodyDiv w:val="1"/>
      <w:marLeft w:val="0"/>
      <w:marRight w:val="0"/>
      <w:marTop w:val="0"/>
      <w:marBottom w:val="0"/>
      <w:divBdr>
        <w:top w:val="none" w:sz="0" w:space="0" w:color="auto"/>
        <w:left w:val="none" w:sz="0" w:space="0" w:color="auto"/>
        <w:bottom w:val="none" w:sz="0" w:space="0" w:color="auto"/>
        <w:right w:val="none" w:sz="0" w:space="0" w:color="auto"/>
      </w:divBdr>
    </w:div>
    <w:div w:id="1979072450">
      <w:marLeft w:val="640"/>
      <w:marRight w:val="0"/>
      <w:marTop w:val="0"/>
      <w:marBottom w:val="0"/>
      <w:divBdr>
        <w:top w:val="none" w:sz="0" w:space="0" w:color="auto"/>
        <w:left w:val="none" w:sz="0" w:space="0" w:color="auto"/>
        <w:bottom w:val="none" w:sz="0" w:space="0" w:color="auto"/>
        <w:right w:val="none" w:sz="0" w:space="0" w:color="auto"/>
      </w:divBdr>
    </w:div>
    <w:div w:id="1993363152">
      <w:bodyDiv w:val="1"/>
      <w:marLeft w:val="0"/>
      <w:marRight w:val="0"/>
      <w:marTop w:val="0"/>
      <w:marBottom w:val="0"/>
      <w:divBdr>
        <w:top w:val="none" w:sz="0" w:space="0" w:color="auto"/>
        <w:left w:val="none" w:sz="0" w:space="0" w:color="auto"/>
        <w:bottom w:val="none" w:sz="0" w:space="0" w:color="auto"/>
        <w:right w:val="none" w:sz="0" w:space="0" w:color="auto"/>
      </w:divBdr>
    </w:div>
    <w:div w:id="2000694018">
      <w:bodyDiv w:val="1"/>
      <w:marLeft w:val="0"/>
      <w:marRight w:val="0"/>
      <w:marTop w:val="0"/>
      <w:marBottom w:val="0"/>
      <w:divBdr>
        <w:top w:val="none" w:sz="0" w:space="0" w:color="auto"/>
        <w:left w:val="none" w:sz="0" w:space="0" w:color="auto"/>
        <w:bottom w:val="none" w:sz="0" w:space="0" w:color="auto"/>
        <w:right w:val="none" w:sz="0" w:space="0" w:color="auto"/>
      </w:divBdr>
    </w:div>
    <w:div w:id="2003463592">
      <w:marLeft w:val="640"/>
      <w:marRight w:val="0"/>
      <w:marTop w:val="0"/>
      <w:marBottom w:val="0"/>
      <w:divBdr>
        <w:top w:val="none" w:sz="0" w:space="0" w:color="auto"/>
        <w:left w:val="none" w:sz="0" w:space="0" w:color="auto"/>
        <w:bottom w:val="none" w:sz="0" w:space="0" w:color="auto"/>
        <w:right w:val="none" w:sz="0" w:space="0" w:color="auto"/>
      </w:divBdr>
    </w:div>
    <w:div w:id="2016302705">
      <w:marLeft w:val="640"/>
      <w:marRight w:val="0"/>
      <w:marTop w:val="0"/>
      <w:marBottom w:val="0"/>
      <w:divBdr>
        <w:top w:val="none" w:sz="0" w:space="0" w:color="auto"/>
        <w:left w:val="none" w:sz="0" w:space="0" w:color="auto"/>
        <w:bottom w:val="none" w:sz="0" w:space="0" w:color="auto"/>
        <w:right w:val="none" w:sz="0" w:space="0" w:color="auto"/>
      </w:divBdr>
    </w:div>
    <w:div w:id="2020547191">
      <w:marLeft w:val="640"/>
      <w:marRight w:val="0"/>
      <w:marTop w:val="0"/>
      <w:marBottom w:val="0"/>
      <w:divBdr>
        <w:top w:val="none" w:sz="0" w:space="0" w:color="auto"/>
        <w:left w:val="none" w:sz="0" w:space="0" w:color="auto"/>
        <w:bottom w:val="none" w:sz="0" w:space="0" w:color="auto"/>
        <w:right w:val="none" w:sz="0" w:space="0" w:color="auto"/>
      </w:divBdr>
    </w:div>
    <w:div w:id="2022193881">
      <w:marLeft w:val="640"/>
      <w:marRight w:val="0"/>
      <w:marTop w:val="0"/>
      <w:marBottom w:val="0"/>
      <w:divBdr>
        <w:top w:val="none" w:sz="0" w:space="0" w:color="auto"/>
        <w:left w:val="none" w:sz="0" w:space="0" w:color="auto"/>
        <w:bottom w:val="none" w:sz="0" w:space="0" w:color="auto"/>
        <w:right w:val="none" w:sz="0" w:space="0" w:color="auto"/>
      </w:divBdr>
    </w:div>
    <w:div w:id="2026402793">
      <w:marLeft w:val="640"/>
      <w:marRight w:val="0"/>
      <w:marTop w:val="0"/>
      <w:marBottom w:val="0"/>
      <w:divBdr>
        <w:top w:val="none" w:sz="0" w:space="0" w:color="auto"/>
        <w:left w:val="none" w:sz="0" w:space="0" w:color="auto"/>
        <w:bottom w:val="none" w:sz="0" w:space="0" w:color="auto"/>
        <w:right w:val="none" w:sz="0" w:space="0" w:color="auto"/>
      </w:divBdr>
    </w:div>
    <w:div w:id="2044553546">
      <w:marLeft w:val="640"/>
      <w:marRight w:val="0"/>
      <w:marTop w:val="0"/>
      <w:marBottom w:val="0"/>
      <w:divBdr>
        <w:top w:val="none" w:sz="0" w:space="0" w:color="auto"/>
        <w:left w:val="none" w:sz="0" w:space="0" w:color="auto"/>
        <w:bottom w:val="none" w:sz="0" w:space="0" w:color="auto"/>
        <w:right w:val="none" w:sz="0" w:space="0" w:color="auto"/>
      </w:divBdr>
    </w:div>
    <w:div w:id="2053770785">
      <w:bodyDiv w:val="1"/>
      <w:marLeft w:val="0"/>
      <w:marRight w:val="0"/>
      <w:marTop w:val="0"/>
      <w:marBottom w:val="0"/>
      <w:divBdr>
        <w:top w:val="none" w:sz="0" w:space="0" w:color="auto"/>
        <w:left w:val="none" w:sz="0" w:space="0" w:color="auto"/>
        <w:bottom w:val="none" w:sz="0" w:space="0" w:color="auto"/>
        <w:right w:val="none" w:sz="0" w:space="0" w:color="auto"/>
      </w:divBdr>
      <w:divsChild>
        <w:div w:id="1716002541">
          <w:marLeft w:val="0"/>
          <w:marRight w:val="0"/>
          <w:marTop w:val="0"/>
          <w:marBottom w:val="0"/>
          <w:divBdr>
            <w:top w:val="none" w:sz="0" w:space="0" w:color="auto"/>
            <w:left w:val="none" w:sz="0" w:space="0" w:color="auto"/>
            <w:bottom w:val="none" w:sz="0" w:space="0" w:color="auto"/>
            <w:right w:val="none" w:sz="0" w:space="0" w:color="auto"/>
          </w:divBdr>
          <w:divsChild>
            <w:div w:id="1548488524">
              <w:marLeft w:val="0"/>
              <w:marRight w:val="0"/>
              <w:marTop w:val="0"/>
              <w:marBottom w:val="0"/>
              <w:divBdr>
                <w:top w:val="none" w:sz="0" w:space="0" w:color="auto"/>
                <w:left w:val="none" w:sz="0" w:space="0" w:color="auto"/>
                <w:bottom w:val="none" w:sz="0" w:space="0" w:color="auto"/>
                <w:right w:val="none" w:sz="0" w:space="0" w:color="auto"/>
              </w:divBdr>
              <w:divsChild>
                <w:div w:id="412969467">
                  <w:marLeft w:val="0"/>
                  <w:marRight w:val="0"/>
                  <w:marTop w:val="0"/>
                  <w:marBottom w:val="0"/>
                  <w:divBdr>
                    <w:top w:val="none" w:sz="0" w:space="0" w:color="auto"/>
                    <w:left w:val="none" w:sz="0" w:space="0" w:color="auto"/>
                    <w:bottom w:val="none" w:sz="0" w:space="0" w:color="auto"/>
                    <w:right w:val="none" w:sz="0" w:space="0" w:color="auto"/>
                  </w:divBdr>
                  <w:divsChild>
                    <w:div w:id="591662982">
                      <w:marLeft w:val="0"/>
                      <w:marRight w:val="0"/>
                      <w:marTop w:val="0"/>
                      <w:marBottom w:val="0"/>
                      <w:divBdr>
                        <w:top w:val="none" w:sz="0" w:space="0" w:color="auto"/>
                        <w:left w:val="none" w:sz="0" w:space="0" w:color="auto"/>
                        <w:bottom w:val="none" w:sz="0" w:space="0" w:color="auto"/>
                        <w:right w:val="none" w:sz="0" w:space="0" w:color="auto"/>
                      </w:divBdr>
                      <w:divsChild>
                        <w:div w:id="421028849">
                          <w:marLeft w:val="0"/>
                          <w:marRight w:val="0"/>
                          <w:marTop w:val="0"/>
                          <w:marBottom w:val="0"/>
                          <w:divBdr>
                            <w:top w:val="none" w:sz="0" w:space="0" w:color="auto"/>
                            <w:left w:val="none" w:sz="0" w:space="0" w:color="auto"/>
                            <w:bottom w:val="none" w:sz="0" w:space="0" w:color="auto"/>
                            <w:right w:val="none" w:sz="0" w:space="0" w:color="auto"/>
                          </w:divBdr>
                          <w:divsChild>
                            <w:div w:id="336343741">
                              <w:marLeft w:val="0"/>
                              <w:marRight w:val="0"/>
                              <w:marTop w:val="0"/>
                              <w:marBottom w:val="0"/>
                              <w:divBdr>
                                <w:top w:val="none" w:sz="0" w:space="0" w:color="auto"/>
                                <w:left w:val="none" w:sz="0" w:space="0" w:color="auto"/>
                                <w:bottom w:val="none" w:sz="0" w:space="0" w:color="auto"/>
                                <w:right w:val="none" w:sz="0" w:space="0" w:color="auto"/>
                              </w:divBdr>
                              <w:divsChild>
                                <w:div w:id="659771054">
                                  <w:marLeft w:val="0"/>
                                  <w:marRight w:val="0"/>
                                  <w:marTop w:val="0"/>
                                  <w:marBottom w:val="0"/>
                                  <w:divBdr>
                                    <w:top w:val="none" w:sz="0" w:space="0" w:color="auto"/>
                                    <w:left w:val="none" w:sz="0" w:space="0" w:color="auto"/>
                                    <w:bottom w:val="none" w:sz="0" w:space="0" w:color="auto"/>
                                    <w:right w:val="none" w:sz="0" w:space="0" w:color="auto"/>
                                  </w:divBdr>
                                  <w:divsChild>
                                    <w:div w:id="211816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482740">
                          <w:marLeft w:val="0"/>
                          <w:marRight w:val="0"/>
                          <w:marTop w:val="0"/>
                          <w:marBottom w:val="0"/>
                          <w:divBdr>
                            <w:top w:val="none" w:sz="0" w:space="0" w:color="auto"/>
                            <w:left w:val="none" w:sz="0" w:space="0" w:color="auto"/>
                            <w:bottom w:val="none" w:sz="0" w:space="0" w:color="auto"/>
                            <w:right w:val="none" w:sz="0" w:space="0" w:color="auto"/>
                          </w:divBdr>
                          <w:divsChild>
                            <w:div w:id="1381127435">
                              <w:marLeft w:val="0"/>
                              <w:marRight w:val="0"/>
                              <w:marTop w:val="0"/>
                              <w:marBottom w:val="0"/>
                              <w:divBdr>
                                <w:top w:val="none" w:sz="0" w:space="0" w:color="auto"/>
                                <w:left w:val="none" w:sz="0" w:space="0" w:color="auto"/>
                                <w:bottom w:val="none" w:sz="0" w:space="0" w:color="auto"/>
                                <w:right w:val="none" w:sz="0" w:space="0" w:color="auto"/>
                              </w:divBdr>
                              <w:divsChild>
                                <w:div w:id="1121650073">
                                  <w:marLeft w:val="0"/>
                                  <w:marRight w:val="0"/>
                                  <w:marTop w:val="0"/>
                                  <w:marBottom w:val="0"/>
                                  <w:divBdr>
                                    <w:top w:val="none" w:sz="0" w:space="0" w:color="auto"/>
                                    <w:left w:val="none" w:sz="0" w:space="0" w:color="auto"/>
                                    <w:bottom w:val="none" w:sz="0" w:space="0" w:color="auto"/>
                                    <w:right w:val="none" w:sz="0" w:space="0" w:color="auto"/>
                                  </w:divBdr>
                                  <w:divsChild>
                                    <w:div w:id="120914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62435929">
      <w:bodyDiv w:val="1"/>
      <w:marLeft w:val="0"/>
      <w:marRight w:val="0"/>
      <w:marTop w:val="0"/>
      <w:marBottom w:val="0"/>
      <w:divBdr>
        <w:top w:val="none" w:sz="0" w:space="0" w:color="auto"/>
        <w:left w:val="none" w:sz="0" w:space="0" w:color="auto"/>
        <w:bottom w:val="none" w:sz="0" w:space="0" w:color="auto"/>
        <w:right w:val="none" w:sz="0" w:space="0" w:color="auto"/>
      </w:divBdr>
    </w:div>
    <w:div w:id="2068068710">
      <w:bodyDiv w:val="1"/>
      <w:marLeft w:val="0"/>
      <w:marRight w:val="0"/>
      <w:marTop w:val="0"/>
      <w:marBottom w:val="0"/>
      <w:divBdr>
        <w:top w:val="none" w:sz="0" w:space="0" w:color="auto"/>
        <w:left w:val="none" w:sz="0" w:space="0" w:color="auto"/>
        <w:bottom w:val="none" w:sz="0" w:space="0" w:color="auto"/>
        <w:right w:val="none" w:sz="0" w:space="0" w:color="auto"/>
      </w:divBdr>
    </w:div>
    <w:div w:id="2073695075">
      <w:bodyDiv w:val="1"/>
      <w:marLeft w:val="0"/>
      <w:marRight w:val="0"/>
      <w:marTop w:val="0"/>
      <w:marBottom w:val="0"/>
      <w:divBdr>
        <w:top w:val="none" w:sz="0" w:space="0" w:color="auto"/>
        <w:left w:val="none" w:sz="0" w:space="0" w:color="auto"/>
        <w:bottom w:val="none" w:sz="0" w:space="0" w:color="auto"/>
        <w:right w:val="none" w:sz="0" w:space="0" w:color="auto"/>
      </w:divBdr>
    </w:div>
    <w:div w:id="2102408051">
      <w:bodyDiv w:val="1"/>
      <w:marLeft w:val="0"/>
      <w:marRight w:val="0"/>
      <w:marTop w:val="0"/>
      <w:marBottom w:val="0"/>
      <w:divBdr>
        <w:top w:val="none" w:sz="0" w:space="0" w:color="auto"/>
        <w:left w:val="none" w:sz="0" w:space="0" w:color="auto"/>
        <w:bottom w:val="none" w:sz="0" w:space="0" w:color="auto"/>
        <w:right w:val="none" w:sz="0" w:space="0" w:color="auto"/>
      </w:divBdr>
    </w:div>
    <w:div w:id="2103839674">
      <w:marLeft w:val="640"/>
      <w:marRight w:val="0"/>
      <w:marTop w:val="0"/>
      <w:marBottom w:val="0"/>
      <w:divBdr>
        <w:top w:val="none" w:sz="0" w:space="0" w:color="auto"/>
        <w:left w:val="none" w:sz="0" w:space="0" w:color="auto"/>
        <w:bottom w:val="none" w:sz="0" w:space="0" w:color="auto"/>
        <w:right w:val="none" w:sz="0" w:space="0" w:color="auto"/>
      </w:divBdr>
    </w:div>
    <w:div w:id="2110926996">
      <w:bodyDiv w:val="1"/>
      <w:marLeft w:val="0"/>
      <w:marRight w:val="0"/>
      <w:marTop w:val="0"/>
      <w:marBottom w:val="0"/>
      <w:divBdr>
        <w:top w:val="none" w:sz="0" w:space="0" w:color="auto"/>
        <w:left w:val="none" w:sz="0" w:space="0" w:color="auto"/>
        <w:bottom w:val="none" w:sz="0" w:space="0" w:color="auto"/>
        <w:right w:val="none" w:sz="0" w:space="0" w:color="auto"/>
      </w:divBdr>
    </w:div>
    <w:div w:id="2114588013">
      <w:marLeft w:val="640"/>
      <w:marRight w:val="0"/>
      <w:marTop w:val="0"/>
      <w:marBottom w:val="0"/>
      <w:divBdr>
        <w:top w:val="none" w:sz="0" w:space="0" w:color="auto"/>
        <w:left w:val="none" w:sz="0" w:space="0" w:color="auto"/>
        <w:bottom w:val="none" w:sz="0" w:space="0" w:color="auto"/>
        <w:right w:val="none" w:sz="0" w:space="0" w:color="auto"/>
      </w:divBdr>
    </w:div>
    <w:div w:id="2143158375">
      <w:marLeft w:val="64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s://dx.doi.org/10.13005/bpj/1852" TargetMode="External"/><Relationship Id="rId3" Type="http://schemas.openxmlformats.org/officeDocument/2006/relationships/styles" Target="styles.xml"/><Relationship Id="rId21" Type="http://schemas.openxmlformats.org/officeDocument/2006/relationships/hyperlink" Target="https://doi.org/10.1186/s43043-023-00136-8"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doi.org/10.1186/s43043-021-00063-6" TargetMode="External"/><Relationship Id="rId2" Type="http://schemas.openxmlformats.org/officeDocument/2006/relationships/numbering" Target="numbering.xml"/><Relationship Id="rId16" Type="http://schemas.openxmlformats.org/officeDocument/2006/relationships/hyperlink" Target="https://dx.doi.org/10.13005/bpj/2219" TargetMode="External"/><Relationship Id="rId20" Type="http://schemas.openxmlformats.org/officeDocument/2006/relationships/hyperlink" Target="https://doi.org/10.62110/sciencein.cbl.2024.v11.65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orcid.org/0000-0002-9774-4318"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hyperlink" Target="mailto:jhakeshwarprasad03@gmail.com" TargetMode="External"/><Relationship Id="rId19" Type="http://schemas.openxmlformats.org/officeDocument/2006/relationships/hyperlink" Target="https://www.innovareacademics.in/journals/index.php/ajpcr/article/view/2681"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4.png"/><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788CF58-4C1D-4D24-B290-F7376D76EE39}">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71678132867"/>
    <we:property name="MENDELEY_CITATIONS" value="[{&quot;citationID&quot;:&quot;MENDELEY_CITATION_5f475ed1-6fe0-4318-bc44-51f377885009&quot;,&quot;properties&quot;:{&quot;noteIndex&quot;:0},&quot;isEdited&quot;:false,&quot;manualOverride&quot;:{&quot;isManuallyOverridden&quot;:false,&quot;citeprocText&quot;:&quot;[1]&quot;,&quot;manualOverrideText&quot;:&quot;&quot;},&quot;citationTag&quot;:&quot;MENDELEY_CITATION_v3_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&quot;,&quot;citationItems&quot;:[{&quot;id&quot;:&quot;5659cf12-5764-3fca-b50a-200c6f1f97a9&quot;,&quot;itemData&quot;:{&quot;type&quot;:&quot;article-journal&quot;,&quot;id&quot;:&quot;5659cf12-5764-3fca-b50a-200c6f1f97a9&quot;,&quot;title&quot;:&quot;Diabetic neuropathy: cutting-edge research and future directions&quot;,&quot;author&quot;:[{&quot;family&quot;:&quot;Yang&quot;,&quot;given&quot;:&quot;Yang&quot;,&quot;parse-names&quot;:false,&quot;dropping-particle&quot;:&quot;&quot;,&quot;non-dropping-particle&quot;:&quot;&quot;},{&quot;family&quot;:&quot;Zhao&quot;,&quot;given&quot;:&quot;Bing&quot;,&quot;parse-names&quot;:false,&quot;dropping-particle&quot;:&quot;&quot;,&quot;non-dropping-particle&quot;:&quot;&quot;},{&quot;family&quot;:&quot;Wang&quot;,&quot;given&quot;:&quot;Yuanzhe&quot;,&quot;parse-names&quot;:false,&quot;dropping-particle&quot;:&quot;&quot;,&quot;non-dropping-particle&quot;:&quot;&quot;},{&quot;family&quot;:&quot;Lan&quot;,&quot;given&quot;:&quot;Hongli&quot;,&quot;parse-names&quot;:false,&quot;dropping-particle&quot;:&quot;&quot;,&quot;non-dropping-particle&quot;:&quot;&quot;},{&quot;family&quot;:&quot;Liu&quot;,&quot;given&quot;:&quot;Xinyu&quot;,&quot;parse-names&quot;:false,&quot;dropping-particle&quot;:&quot;&quot;,&quot;non-dropping-particle&quot;:&quot;&quot;},{&quot;family&quot;:&quot;Hu&quot;,&quot;given&quot;:&quot;Yue&quot;,&quot;parse-names&quot;:false,&quot;dropping-particle&quot;:&quot;&quot;,&quot;non-dropping-particle&quot;:&quot;&quot;},{&quot;family&quot;:&quot;Cao&quot;,&quot;given&quot;:&quot;Peng&quot;,&quot;parse-names&quot;:false,&quot;dropping-particle&quot;:&quot;&quot;,&quot;non-dropping-particle&quot;:&quot;&quot;}],&quot;container-title&quot;:&quot;Signal Transduction and Targeted Therapy&quot;,&quot;container-title-short&quot;:&quot;Signal Transduct. Target. Ther.&quot;,&quot;accessed&quot;:{&quot;date-parts&quot;:[[2026,2,10]]},&quot;DOI&quot;:&quot;10.1038/s41392-025-02175-1&quot;,&quot;ISSN&quot;:&quot;20593635&quot;,&quot;PMID&quot;:&quot;40274830&quot;,&quot;URL&quot;:&quot;https://pmc.ncbi.nlm.nih.gov/articles/PMC12022100/&quot;,&quot;issued&quot;:{&quot;date-parts&quot;:[[2025,12,1]]},&quot;page&quot;:&quot;132&quot;,&quot;abstract&quot;:&quot;Diabetic neuropathy (DN) is a prevalent and debilitating complication of diabetes mellitus, significantly impacting patient quality of life and contributing to morbidity and mortality. Affecting approximately 50% of patients with diabetes, DN is predominantly characterized by distal symmetric polyneuropathy, leading to sensory loss, pain, and motor dysfunction, often resulting in diabetic foot ulcers and lower-limb amputations. The pathogenesis of DN is multifaceted, involving hyperglycemia, dyslipidemia, oxidative stress, mitochondrial dysfunction, and inflammation, which collectively damage peripheral nerves. Despite extensive research, disease-modifying treatments remain elusive, with current management primarily focusing on symptom control. This review explores the complex mechanisms underlying DN and highlights recent advances in diagnostic and therapeutic strategies. Emerging insights into the molecular and cellular pathways have unveiled potential targets for intervention, including neuroprotective agents, gene and stem cell therapies, and innovative pharmacological approaches. Additionally, novel diagnostic tools, such as corneal confocal microscopy and biomarker-based tests, have improved early detection and intervention. Lifestyle modifications and multidisciplinary care strategies can enhance patient outcomes. While significant progress has been made, further research is required to develop therapies that can effectively halt or reverse disease progression, ultimately improving the lives of individuals with DN. This review provides a comprehensive overview of current understanding and future directions in DN research and management.&quot;,&quot;publisher&quot;:&quot;Springer Nature&quot;,&quot;issue&quot;:&quot;1&quot;,&quot;volume&quot;:&quot;10&quot;},&quot;isTemporary&quot;:false}]},{&quot;citationID&quot;:&quot;MENDELEY_CITATION_01eceb8d-d17c-495e-b505-99bd7d759643&quot;,&quot;properties&quot;:{&quot;noteIndex&quot;:0},&quot;isEdited&quot;:false,&quot;manualOverride&quot;:{&quot;isManuallyOverridden&quot;:false,&quot;citeprocText&quot;:&quot;[2]&quot;,&quot;manualOverrideText&quot;:&quot;&quot;},&quot;citationTag&quot;:&quot;MENDELEY_CITATION_v3_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&quot;,&quot;citationItems&quot;:[{&quot;id&quot;:&quot;08830dbe-b59c-3101-8c4b-eaa46ad8b16c&quot;,&quot;itemData&quot;:{&quot;type&quot;:&quot;article-journal&quot;,&quot;id&quot;:&quot;08830dbe-b59c-3101-8c4b-eaa46ad8b16c&quot;,&quot;title&quot;:&quot;Pathophysiology and Principles of Management of the Diabetic Foot&quot;,&quot;author&quot;:[{&quot;family&quot;:&quot;Armstrong&quot;,&quot;given&quot;:&quot;David G.&quot;,&quot;parse-names&quot;:false,&quot;dropping-particle&quot;:&quot;&quot;,&quot;non-dropping-particle&quot;:&quot;&quot;},{&quot;family&quot;:&quot;Fisher&quot;,&quot;given&quot;:&quot;Timothy K.&quot;,&quot;parse-names&quot;:false,&quot;dropping-particle&quot;:&quot;&quot;,&quot;non-dropping-particle&quot;:&quot;&quot;},{&quot;family&quot;:&quot;Lepow&quot;,&quot;given&quot;:&quot;Brian&quot;,&quot;parse-names&quot;:false,&quot;dropping-particle&quot;:&quot;&quot;,&quot;non-dropping-particle&quot;:&quot;&quot;},{&quot;family&quot;:&quot;White&quot;,&quot;given&quot;:&quot;Matthew L.&quot;,&quot;parse-names&quot;:false,&quot;dropping-particle&quot;:&quot;&quot;,&quot;non-dropping-particle&quot;:&quot;&quot;},{&quot;family&quot;:&quot;Mills&quot;,&quot;given&quot;:&quot;Joseph L.&quot;,&quot;parse-names&quot;:false,&quot;dropping-particle&quot;:&quot;&quot;,&quot;non-dropping-particle&quot;:&quot;&quot;}],&quot;container-title&quot;:&quot;Mechanisms of Vascular Disease: A Reference Book for Vascular Specialists&quot;,&quot;accessed&quot;:{&quot;date-parts&quot;:[[2026,2,10]]},&quot;DOI&quot;:&quot;10.1017/UPO9781922064004.027&quot;,&quot;ISBN&quot;:&quot;9781922064004&quot;,&quot;PMID&quot;:&quot;30485022&quot;,&quot;URL&quot;:&quot;https://www.ncbi.nlm.nih.gov/books/NBK534268/&quot;,&quot;issued&quot;:{&quot;date-parts&quot;:[[2011,1,1]]},&quot;page&quot;:&quot;475-496&quot;,&quot;abstract&quot;:&quot;INTRODUCTION The incidence of diabetes continues to grow at a staggering pace. The United States' Centers for Disease Control and Prevention estimate that 23.6 million people or 7.8% of the U.S. Population has diabetes, with 1.6 million new cases being diagnosed each year. These figures are even more astonishing when one considers worldwide estimates. Close to 4 million deaths in the 20–79 year old age group may be attributed to diabetes in 2010, accounting for 6.8% of global all-cause mortality in this age group. The number of people with diabetes worldwide is expected to reach 366 million people by 2030, more than double the estimated 177 million people affected with the disease in 2000. The increased disease prevalence is accompanied by an increase in associated comorbidities. The literature estimates that patients with diabetes have nearly a 25% lifetime risk of developing a foot ulcer with more than 50% of these ulcers becoming infected and requiring hospitalization. In fact, at least 20% of all diabetes-related hospital admissions are due to diabetic foot ulcers. Associated with foot ulcers and infection is the incidence of amputation. It has been conservatively reported that, worldwide, a major amputation takes place every 30 seconds with over 2500 limbs lost per day. At least 60% of all non-traumatic lower extremity amputations are related to complications of diabetes. People with diabetes who have had one amputation have a 68% risk of having another in the next 5 years and have a 50% mortality rate in the 5 years following the initial amputation.&quot;,&quot;publisher&quot;:&quot;University of Adelaide Press&quot;,&quot;container-title-short&quot;:&quot;&quot;},&quot;isTemporary&quot;:false}]},{&quot;citationID&quot;:&quot;MENDELEY_CITATION_5e791d9d-620c-4d2e-8373-7eec6a10590b&quot;,&quot;properties&quot;:{&quot;noteIndex&quot;:0},&quot;isEdited&quot;:false,&quot;manualOverride&quot;:{&quot;isManuallyOverridden&quot;:false,&quot;citeprocText&quot;:&quot;[3]&quot;,&quot;manualOverrideText&quot;:&quot;&quot;},&quot;citationTag&quot;:&quot;MENDELEY_CITATION_v3_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&quot;,&quot;citationItems&quot;:[{&quot;id&quot;:&quot;5bb508fe-960e-35e9-b23d-89447e66fde2&quot;,&quot;itemData&quot;:{&quot;type&quot;:&quot;article-journal&quot;,&quot;id&quot;:&quot;5bb508fe-960e-35e9-b23d-89447e66fde2&quot;,&quot;title&quot;:&quot;Neuroinflammation and Oxidative Stress in Diabetic Neuropathy: Futuristic Strategies Based on These Targets&quot;,&quot;author&quot;:[{&quot;family&quot;:&quot;Sandireddy&quot;,&quot;given&quot;:&quot;Reddemma&quot;,&quot;parse-names&quot;:false,&quot;dropping-particle&quot;:&quot;&quot;,&quot;non-dropping-particle&quot;:&quot;&quot;},{&quot;family&quot;:&quot;Yerra&quot;,&quot;given&quot;:&quot;Veera Ganesh&quot;,&quot;parse-names&quot;:false,&quot;dropping-particle&quot;:&quot;&quot;,&quot;non-dropping-particle&quot;:&quot;&quot;},{&quot;family&quot;:&quot;Areti&quot;,&quot;given&quot;:&quot;Aparna&quot;,&quot;parse-names&quot;:false,&quot;dropping-particle&quot;:&quot;&quot;,&quot;non-dropping-particle&quot;:&quot;&quot;},{&quot;family&quot;:&quot;Komirishetty&quot;,&quot;given&quot;:&quot;Prashanth&quot;,&quot;parse-names&quot;:false,&quot;dropping-particle&quot;:&quot;&quot;,&quot;non-dropping-particle&quot;:&quot;&quot;},{&quot;family&quot;:&quot;Kumar&quot;,&quot;given&quot;:&quot;Ashutosh&quot;,&quot;parse-names&quot;:false,&quot;dropping-particle&quot;:&quot;&quot;,&quot;non-dropping-particle&quot;:&quot;&quot;}],&quot;container-title&quot;:&quot;International Journal of Endocrinology&quot;,&quot;container-title-short&quot;:&quot;Int. J. Endocrinol.&quot;,&quot;accessed&quot;:{&quot;date-parts&quot;:[[2026,2,10]]},&quot;DOI&quot;:&quot;10.1155/2014/674987&quot;,&quot;ISSN&quot;:&quot;16878345&quot;,&quot;PMID&quot;:&quot;24883061&quot;,&quot;URL&quot;:&quot;https://pmc.ncbi.nlm.nih.gov/articles/PMC4021687/&quot;,&quot;issued&quot;:{&quot;date-parts&quot;:[[2014]]},&quot;page&quot;:&quot;674987&quot;,&quot;abstract&quot;:&quot;In Diabetes, the chronic hyperglycemia and associated complications affecting peripheral nerves are one of the most commonly occurring microvascular complications with an overall prevalence of 50-60%. Among the vascular complications of diabetes, diabetic neuropathy is the most painful and disabling, fatal complication affecting the quality of life in patients. Several theories of etiologies surfaced down the lane, amongst which the oxidative stress mediated damage in neurons and surrounding glial cell has gained attention as one of the vital mechanisms in the pathogenesis of neuropathy. Mitochondria induced ROS and other oxidants are responsible for altering the balance between oxidants and innate antioxidant defence of the body. Oxidative-nitrosative stress not only activates the major pathways namely, polyol pathway flux, advanced glycation end products formation, activation of protein kinase C, and overactivity of the hexosamine pathway, but also initiates and amplifies neuroinflammation. The cross talk between oxidative stress and inflammation is due to the activation of NF-κB and AP-1 and inhibition of Nrf2, peroxynitrite mediate endothelial dysfunction, altered NO levels, and macrophage migration. These all culminate in the production of proinflammatory cytokines which are responsible for nerve tissue damage and debilitating neuropathies. This review focuses on the relationship between oxidative stress and neuroinflammation in the development and progression of diabetic neuropathy. © 2014 Reddemma Sandireddy et al.&quot;,&quot;publisher&quot;:&quot;Hindawi Publishing Corporation&quot;,&quot;volume&quot;:&quot;2014&quot;},&quot;isTemporary&quot;:false}]},{&quot;citationID&quot;:&quot;MENDELEY_CITATION_b60c6c08-a156-41f7-bb6c-ea39536e9eb2&quot;,&quot;properties&quot;:{&quot;noteIndex&quot;:0},&quot;isEdited&quot;:false,&quot;manualOverride&quot;:{&quot;isManuallyOverridden&quot;:false,&quot;citeprocText&quot;:&quot;[4]&quot;,&quot;manualOverrideText&quot;:&quot;&quot;},&quot;citationTag&quot;:&quot;MENDELEY_CITATION_v3_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&quot;,&quot;citationItems&quot;:[{&quot;id&quot;:&quot;81521bbb-38fa-3da5-9bfe-882b0f3ebd5b&quot;,&quot;itemData&quot;:{&quot;type&quot;:&quot;article-journal&quot;,&quot;id&quot;:&quot;81521bbb-38fa-3da5-9bfe-882b0f3ebd5b&quot;,&quot;title&quot;:&quot;From imbalance to impairment: the central role of reactive oxygen species in oxidative stress-induced disorders and therapeutic exploration&quot;,&quot;author&quot;:[{&quot;family&quot;:&quot;Afzal&quot;,&quot;given&quot;:&quot;Sheryar&quot;,&quot;parse-names&quot;:false,&quot;dropping-particle&quot;:&quot;&quot;,&quot;non-dropping-particle&quot;:&quot;&quot;},{&quot;family&quot;:&quot;Abdul Manap&quot;,&quot;given&quot;:&quot;Aimi Syamima&quot;,&quot;parse-names&quot;:false,&quot;dropping-particle&quot;:&quot;&quot;,&quot;non-dropping-particle&quot;:&quot;&quot;},{&quot;family&quot;:&quot;Attiq&quot;,&quot;given&quot;:&quot;Ali&quot;,&quot;parse-names&quot;:false,&quot;dropping-particle&quot;:&quot;&quot;,&quot;non-dropping-particle&quot;:&quot;&quot;},{&quot;family&quot;:&quot;Albokhadaim&quot;,&quot;given&quot;:&quot;Ibrahim&quot;,&quot;parse-names&quot;:false,&quot;dropping-particle&quot;:&quot;&quot;,&quot;non-dropping-particle&quot;:&quot;&quot;},{&quot;family&quot;:&quot;Kandeel&quot;,&quot;given&quot;:&quot;Mahmoud&quot;,&quot;parse-names&quot;:false,&quot;dropping-particle&quot;:&quot;&quot;,&quot;non-dropping-particle&quot;:&quot;&quot;},{&quot;family&quot;:&quot;Alhojaily&quot;,&quot;given&quot;:&quot;Sameer M.&quot;,&quot;parse-names&quot;:false,&quot;dropping-particle&quot;:&quot;&quot;,&quot;non-dropping-particle&quot;:&quot;&quot;}],&quot;container-title&quot;:&quot;Frontiers in Pharmacology&quot;,&quot;container-title-short&quot;:&quot;Front. Pharmacol.&quot;,&quot;accessed&quot;:{&quot;date-parts&quot;:[[2026,2,10]]},&quot;DOI&quot;:&quot;10.3389/fphar.2023.1269581&quot;,&quot;ISSN&quot;:&quot;16639812&quot;,&quot;PMID&quot;:&quot;37927596&quot;,&quot;URL&quot;:&quot;https://pmc.ncbi.nlm.nih.gov/articles/PMC10622810/&quot;,&quot;issued&quot;:{&quot;date-parts&quot;:[[2023]]},&quot;page&quot;:&quot;1269581&quot;,&quot;abstract&quot;:&quot;Increased production and buildup of reactive oxygen species (ROS) can lead to various health issues, including metabolic problems, cancers, and neurological conditions. Our bodies counteract ROS with biological antioxidants such as SOD, CAT, and GPx, which help prevent cellular damage. However, if there is an imbalance between ROS and these antioxidants, it can result in oxidative stress. This can cause genetic and epigenetic changes at the molecular level. This review delves into how ROS plays a role in disorders caused by oxidative stress. We also look at animal models used for researching ROS pathways. This study offers insights into the mechanism, pathology, epigenetic changes, and animal models to assist in drug development and disease understanding.&quot;,&quot;publisher&quot;:&quot;Frontiers Media SA&quot;,&quot;volume&quot;:&quot;14&quot;},&quot;isTemporary&quot;:false}]},{&quot;citationID&quot;:&quot;MENDELEY_CITATION_b91eff18-5229-4f85-9bb8-98bd19687110&quot;,&quot;properties&quot;:{&quot;noteIndex&quot;:0},&quot;isEdited&quot;:false,&quot;manualOverride&quot;:{&quot;isManuallyOverridden&quot;:false,&quot;citeprocText&quot;:&quot;[5]&quot;,&quot;manualOverrideText&quot;:&quot;&quot;},&quot;citationTag&quot;:&quot;MENDELEY_CITATION_v3_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&quot;,&quot;citationItems&quot;:[{&quot;id&quot;:&quot;482a90d1-dc09-34b3-96e8-6b7355a00957&quot;,&quot;itemData&quot;:{&quot;type&quot;:&quot;article-journal&quot;,&quot;id&quot;:&quot;482a90d1-dc09-34b3-96e8-6b7355a00957&quot;,&quot;title&quot;:&quot;Quercetin, a Flavonoid with Great Pharmacological Capacity&quot;,&quot;author&quot;:[{&quot;family&quot;:&quot;Carrillo-Martinez&quot;,&quot;given&quot;:&quot;Eber Josue&quot;,&quot;parse-names&quot;:false,&quot;dropping-particle&quot;:&quot;&quot;,&quot;non-dropping-particle&quot;:&quot;&quot;},{&quot;family&quot;:&quot;Flores-Hernández&quot;,&quot;given&quot;:&quot;Flor Yohana&quot;,&quot;parse-names&quot;:false,&quot;dropping-particle&quot;:&quot;&quot;,&quot;non-dropping-particle&quot;:&quot;&quot;},{&quot;family&quot;:&quot;Salazar-Montes&quot;,&quot;given&quot;:&quot;Adriana María&quot;,&quot;parse-names&quot;:false,&quot;dropping-particle&quot;:&quot;&quot;,&quot;non-dropping-particle&quot;:&quot;&quot;},{&quot;family&quot;:&quot;Nario-Chaidez&quot;,&quot;given&quot;:&quot;Hector Fabián&quot;,&quot;parse-names&quot;:false,&quot;dropping-particle&quot;:&quot;&quot;,&quot;non-dropping-particle&quot;:&quot;&quot;},{&quot;family&quot;:&quot;Hernández-Ortega&quot;,&quot;given&quot;:&quot;Luis Daniel&quot;,&quot;parse-names&quot;:false,&quot;dropping-particle&quot;:&quot;&quot;,&quot;non-dropping-particle&quot;:&quot;&quot;}],&quot;container-title&quot;:&quot;Molecules 2024, Vol. 29, Page 1000&quot;,&quot;accessed&quot;:{&quot;date-parts&quot;:[[2026,2,10]]},&quot;DOI&quot;:&quot;10.3390/molecules29051000&quot;,&quot;ISSN&quot;:&quot;14203049&quot;,&quot;PMID&quot;:&quot;38474512&quot;,&quot;URL&quot;:&quot;https://www.mdpi.com/1420-3049/29/5/1000/htm&quot;,&quot;issued&quot;:{&quot;date-parts&quot;:[[2024,2,25]]},&quot;page&quot;:&quot;1000&quot;,&quot;abstract&quot;:&quot;Quercetin is a flavonoid with a low molecular weight that belongs to the human diet’s phenolic phytochemicals and nonenergy constituents. Quercetin has a potent antioxidant capacity, being able to capture reactive oxygen species (ROS), reactive nitrogen species (RNS), and reactive chlorine species (ROC), which act as reducing agents by chelating transition-metal ions. Its structure has five functional hydroxyl groups, which work as electron donors and are responsible for capturing free radicals. In addition to its antioxidant capacity, different pharmacological properties of quercetin have been described, such as carcinostatic properties; antiviral, antihypertensive, and anti-inflammatory properties; the ability to protect low-density lipoprotein (LDL) oxidation, and the ability to inhibit angiogenesis; these are developed in this review.&quot;,&quot;publisher&quot;:&quot;Multidisciplinary Digital Publishing Institute&quot;,&quot;issue&quot;:&quot;5&quot;,&quot;volume&quot;:&quot;29&quot;,&quot;container-title-short&quot;:&quot;&quot;},&quot;isTemporary&quot;:false}]},{&quot;citationID&quot;:&quot;MENDELEY_CITATION_34290eba-cb03-41bc-a7a0-a34c86a76362&quot;,&quot;properties&quot;:{&quot;noteIndex&quot;:0},&quot;isEdited&quot;:false,&quot;manualOverride&quot;:{&quot;isManuallyOverridden&quot;:false,&quot;citeprocText&quot;:&quot;[6]&quot;,&quot;manualOverrideText&quot;:&quot;&quot;},&quot;citationTag&quot;:&quot;MENDELEY_CITATION_v3_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&quot;,&quot;citationItems&quot;:[{&quot;id&quot;:&quot;5730cd7c-4fdb-3261-baeb-f9f707e8642c&quot;,&quot;itemData&quot;:{&quot;type&quot;:&quot;article-journal&quot;,&quot;id&quot;:&quot;5730cd7c-4fdb-3261-baeb-f9f707e8642c&quot;,&quot;title&quot;:&quot;Therapeutic Potential of Quercetin in Diabetic Neuropathy and Retinopathy: Exploring Molecular Mechanisms&quot;,&quot;author&quot;:[{&quot;family&quot;:&quot;Saikia&quot;,&quot;given&quot;:&quot;Lunasmrita&quot;,&quot;parse-names&quot;:false,&quot;dropping-particle&quot;:&quot;&quot;,&quot;non-dropping-particle&quot;:&quot;&quot;},{&quot;family&quot;:&quot;Barbhuiya&quot;,&quot;given&quot;:&quot;Sm Abdul Aziz&quot;,&quot;parse-names&quot;:false,&quot;dropping-particle&quot;:&quot;&quot;,&quot;non-dropping-particle&quot;:&quot;&quot;},{&quot;family&quot;:&quot;Saikia&quot;,&quot;given&quot;:&quot;Kalyani&quot;,&quot;parse-names&quot;:false,&quot;dropping-particle&quot;:&quot;&quot;,&quot;non-dropping-particle&quot;:&quot;&quot;},{&quot;family&quot;:&quot;Kalita&quot;,&quot;given&quot;:&quot;Pratap&quot;,&quot;parse-names&quot;:false,&quot;dropping-particle&quot;:&quot;&quot;,&quot;non-dropping-particle&quot;:&quot;&quot;},{&quot;family&quot;:&quot;Dutta&quot;,&quot;given&quot;:&quot;Partha Pratim&quot;,&quot;parse-names&quot;:false,&quot;dropping-particle&quot;:&quot;&quot;,&quot;non-dropping-particle&quot;:&quot;&quot;}],&quot;container-title&quot;:&quot;Current topics in medicinal chemistry&quot;,&quot;container-title-short&quot;:&quot;Curr. Top. Med. Chem.&quot;,&quot;accessed&quot;:{&quot;date-parts&quot;:[[2026,2,10]]},&quot;DOI&quot;:&quot;10.2174/0115680266330678240821060623&quot;,&quot;ISSN&quot;:&quot;15680266&quot;,&quot;PMID&quot;:&quot;39253913&quot;,&quot;URL&quot;:&quot;https://pubmed.ncbi.nlm.nih.gov/39253913/&quot;,&quot;issued&quot;:{&quot;date-parts&quot;:[[2024,8,28]]},&quot;page&quot;:&quot;2351-2361&quot;,&quot;abstract&quot;:&quot;Diabetes mellitus poses a significant health challenge globally, often leading to debilitating complications, such as neuropathy and retinopathy. Quercetin, a flavonoid prevalent in fruits and vegetables, has demonstrated potential therapeutic effects in these conditions due to its antioxidant, anti-inflammatory, and neuroprotective properties. This review summarizes and provides a comprehensive understanding of the molecular mechanisms underlying the efficacy of quercetin in ameliorating diabetic neuropathy and retinopathy. A thorough search was carried out across scientific databases, such as SciFinder, PubMed, and Google Scholar, to gather pertinent literature regarding the effect of quercetin on diabetic neuropathy and retinopathy till February 2024. Preclinical studies indicate that quercetin mitigates neuropathic pain, sensory deficits, and nerve damage associated with diabetic neuropathy by improving neuronal function, reducing DNA damage, regulating pro-inflammatory cytokines, enhancing antioxidant enzyme levels and endothelial function, as well as restoring nerve injuries. In diabetic retinopathy, quercetin shows the potential to preserve retinal structure and function, inhibiting neovascularization, preventing retinal cell death, reducing pro-inflammatory cytokines, and increasing neurotrophic factor levels. Moreover, through modulating key signaling pathways, such as AMP-activated Protein Kinase (AMPK) activation, Glucose Transporter 4 (GLUT 4) upregulation, and insulin secretion regulation, quercetin demonstrates efficacy in reducing oxidative stress and inflammation, thereby protecting nerve and retinal tissues. Despite promising preclinical findings, challenges, such as limited bioavailability, necessitate further research to optimize quercetin's clinical application in order to establish its optimal dosage, formulation, and long-term efficacy in clinical settings.&quot;,&quot;publisher&quot;:&quot;Curr Top Med Chem&quot;,&quot;issue&quot;:&quot;27&quot;,&quot;volume&quot;:&quot;24&quot;},&quot;isTemporary&quot;:false}]},{&quot;citationID&quot;:&quot;MENDELEY_CITATION_eed574b7-3619-4128-825f-585f5c67aba7&quot;,&quot;properties&quot;:{&quot;noteIndex&quot;:0},&quot;isEdited&quot;:false,&quot;manualOverride&quot;:{&quot;isManuallyOverridden&quot;:false,&quot;citeprocText&quot;:&quot;[7]&quot;,&quot;manualOverrideText&quot;:&quot;&quot;},&quot;citationTag&quot;:&quot;MENDELEY_CITATION_v3_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&quot;,&quot;citationItems&quot;:[{&quot;id&quot;:&quot;e21e8a3d-acfb-35a0-9412-4fe33121c227&quot;,&quot;itemData&quot;:{&quot;type&quot;:&quot;article-journal&quot;,&quot;id&quot;:&quot;e21e8a3d-acfb-35a0-9412-4fe33121c227&quot;,&quot;title&quot;:&quot;Quercetin as a Therapeutic Product: Evaluation of Its Pharmacological Action and Clinical Applications—A Review&quot;,&quot;author&quot;:[{&quot;family&quot;:&quot;Mirza&quot;,&quot;given&quot;:&quot;Mohd Aamir&quot;,&quot;parse-names&quot;:false,&quot;dropping-particle&quot;:&quot;&quot;,&quot;non-dropping-particle&quot;:&quot;&quot;},{&quot;family&quot;:&quot;Mahmood&quot;,&quot;given&quot;:&quot;Syed&quot;,&quot;parse-names&quot;:false,&quot;dropping-particle&quot;:&quot;&quot;,&quot;non-dropping-particle&quot;:&quot;&quot;},{&quot;family&quot;:&quot;Hilles&quot;,&quot;given&quot;:&quot;Ayah Rebhi&quot;,&quot;parse-names&quot;:false,&quot;dropping-particle&quot;:&quot;&quot;,&quot;non-dropping-particle&quot;:&quot;&quot;},{&quot;family&quot;:&quot;Ali&quot;,&quot;given&quot;:&quot;Abuzer&quot;,&quot;parse-names&quot;:false,&quot;dropping-particle&quot;:&quot;&quot;,&quot;non-dropping-particle&quot;:&quot;&quot;},{&quot;family&quot;:&quot;Khan&quot;,&quot;given&quot;:&quot;Mohammed Zaafar&quot;,&quot;parse-names&quot;:false,&quot;dropping-particle&quot;:&quot;&quot;,&quot;non-dropping-particle&quot;:&quot;&quot;},{&quot;family&quot;:&quot;Zaidi&quot;,&quot;given&quot;:&quot;Syed Amir Azam&quot;,&quot;parse-names&quot;:false,&quot;dropping-particle&quot;:&quot;&quot;,&quot;non-dropping-particle&quot;:&quot;&quot;},{&quot;family&quot;:&quot;Iqbal&quot;,&quot;given&quot;:&quot;Zeenat&quot;,&quot;parse-names&quot;:false,&quot;dropping-particle&quot;:&quot;&quot;,&quot;non-dropping-particle&quot;:&quot;&quot;},{&quot;family&quot;:&quot;Ge&quot;,&quot;given&quot;:&quot;Yi&quot;,&quot;parse-names&quot;:false,&quot;dropping-particle&quot;:&quot;&quot;,&quot;non-dropping-particle&quot;:&quot;&quot;}],&quot;container-title&quot;:&quot;Pharmaceuticals&quot;,&quot;accessed&quot;:{&quot;date-parts&quot;:[[2026,2,10]]},&quot;DOI&quot;:&quot;10.3390/ph16111631&quot;,&quot;ISSN&quot;:&quot;14248247&quot;,&quot;URL&quot;:&quot;https://www.mdpi.com/1424-8247/16/11/1631/htm&quot;,&quot;issued&quot;:{&quot;date-parts&quot;:[[2023,11,1]]},&quot;page&quot;:&quot;1631&quot;,&quot;abstract&quot;:&quot;Quercetin is the major polyphenolic flavonoid that belongs to the class called flavanols. It is found in many foods, such as green tea, cranberry, apple, onions, asparagus, radish leaves, buckwheat, blueberry, broccoli, and coriander. It occurs in many different forms, but the most abundant quercetin derivatives are glycosides and ethers, namely, Quercetin 3-O-glycoside, Quercetin 3-sulfate, Quercetin 3-glucuronide, and Quercetin 3′-metylether. Quercetin has antioxidant, anti-inflammatory, cardioprotective, antiviral, and antibacterial effects. It is found to be beneficial against cardiovascular diseases, cancer, diabetes, neuro-degenerative diseases, allergy asthma, peptic ulcers, osteoporosis, arthritis, and eye disorders. In pre-clinical and clinical investigations, its impacts on various signaling pathways and molecular targets have demonstrated favorable benefits for the activities mentioned above, and some global clinical trials have been conducted to validate its therapeutic profile. It is also utilized as a nutraceutical due to its pharmacological properties. Although quercetin has several pharmacological benefits, its clinical use is restricted due to its poor water solubility, substantial first-pass metabolism, and consequent low bioavailability. To circumvent this limited bioavailability, a quercetin-based nanoformulation has been considered in recent times as it manifests increased quercetin uptake by the epithelial system and enhances the delivery of quercetin to the target site. This review mainly focuses on pharmacological action, clinical trials, patents, marketed products, and approaches to improving the bioavailability of quercetin with the use of a nanoformulation.&quot;,&quot;publisher&quot;:&quot;Multidisciplinary Digital Publishing Institute (MDPI)&quot;,&quot;issue&quot;:&quot;11&quot;,&quot;volume&quot;:&quot;16&quot;,&quot;container-title-short&quot;:&quot;&quot;},&quot;isTemporary&quot;:false}]},{&quot;citationID&quot;:&quot;MENDELEY_CITATION_0973e1b5-79c4-47c7-bc8c-6612ed3dc89d&quot;,&quot;properties&quot;:{&quot;noteIndex&quot;:0},&quot;isEdited&quot;:false,&quot;manualOverride&quot;:{&quot;isManuallyOverridden&quot;:false,&quot;citeprocText&quot;:&quot;[8]&quot;,&quot;manualOverrideText&quot;:&quot;&quot;},&quot;citationTag&quot;:&quot;MENDELEY_CITATION_v3_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&quot;,&quot;citationItems&quot;:[{&quot;id&quot;:&quot;76341d1e-1de5-31ac-a7ba-0301af8316ad&quot;,&quot;itemData&quot;:{&quot;type&quot;:&quot;article-journal&quot;,&quot;id&quot;:&quot;76341d1e-1de5-31ac-a7ba-0301af8316ad&quot;,&quot;title&quot;:&quot;Nano based drug delivery systems: recent developments and future prospects.&quot;,&quot;author&quot;:[{&quot;family&quot;:&quot;Patra&quot;,&quot;given&quot;:&quot;Jayanta Kumar&quot;,&quot;parse-names&quot;:false,&quot;dropping-particle&quot;:&quot;&quot;,&quot;non-dropping-particle&quot;:&quot;&quot;},{&quot;family&quot;:&quot;Das&quot;,&quot;given&quot;:&quot;Gitishree&quot;,&quot;parse-names&quot;:false,&quot;dropping-particle&quot;:&quot;&quot;,&quot;non-dropping-particle&quot;:&quot;&quot;},{&quot;family&quot;:&quot;Fraceto&quot;,&quot;given&quot;:&quot;Leonardo Fernandes&quot;,&quot;parse-names&quot;:false,&quot;dropping-particle&quot;:&quot;&quot;,&quot;non-dropping-particle&quot;:&quot;&quot;},{&quot;family&quot;:&quot;Campos&quot;,&quot;given&quot;:&quot;Estefania Vangelie Ramos&quot;,&quot;parse-names&quot;:false,&quot;dropping-particle&quot;:&quot;&quot;,&quot;non-dropping-particle&quot;:&quot;&quot;},{&quot;family&quot;:&quot;Rodriguez-Torres&quot;,&quot;given&quot;:&quot;Maria Del Pilar&quot;,&quot;parse-names&quot;:false,&quot;dropping-particle&quot;:&quot;&quot;,&quot;non-dropping-particle&quot;:&quot;&quot;},{&quot;family&quot;:&quot;Acosta-Torres&quot;,&quot;given&quot;:&quot;Laura Susana&quot;,&quot;parse-names&quot;:false,&quot;dropping-particle&quot;:&quot;&quot;,&quot;non-dropping-particle&quot;:&quot;&quot;},{&quot;family&quot;:&quot;Diaz-Torres&quot;,&quot;given&quot;:&quot;Luis Armando&quot;,&quot;parse-names&quot;:false,&quot;dropping-particle&quot;:&quot;&quot;,&quot;non-dropping-particle&quot;:&quot;&quot;},{&quot;family&quot;:&quot;Grillo&quot;,&quot;given&quot;:&quot;Renato&quot;,&quot;parse-names&quot;:false,&quot;dropping-particle&quot;:&quot;&quot;,&quot;non-dropping-particle&quot;:&quot;&quot;},{&quot;family&quot;:&quot;Swamy&quot;,&quot;given&quot;:&quot;Mallappa Kumara&quot;,&quot;parse-names&quot;:false,&quot;dropping-particle&quot;:&quot;&quot;,&quot;non-dropping-particle&quot;:&quot;&quot;},{&quot;family&quot;:&quot;Sharma&quot;,&quot;given&quot;:&quot;Shivesh&quot;,&quot;parse-names&quot;:false,&quot;dropping-particle&quot;:&quot;&quot;,&quot;non-dropping-particle&quot;:&quot;&quot;},{&quot;family&quot;:&quot;Habtemariam&quot;,&quot;given&quot;:&quot;Solomon&quot;,&quot;parse-names&quot;:false,&quot;dropping-particle&quot;:&quot;&quot;,&quot;non-dropping-particle&quot;:&quot;&quot;},{&quot;family&quot;:&quot;Shin&quot;,&quot;given&quot;:&quot;Han Seung&quot;,&quot;parse-names&quot;:false,&quot;dropping-particle&quot;:&quot;&quot;,&quot;non-dropping-particle&quot;:&quot;&quot;}],&quot;container-title&quot;:&quot;Journal of Nanobiotechnology&quot;,&quot;container-title-short&quot;:&quot;J. Nanobiotechnology&quot;,&quot;accessed&quot;:{&quot;date-parts&quot;:[[2026,2,10]]},&quot;DOI&quot;:&quot;10.1186/s12951-018-0392-8&quot;,&quot;ISSN&quot;:&quot;14773155&quot;,&quot;PMID&quot;:&quot;30231877&quot;,&quot;URL&quot;:&quot;https://europepmc.org/articles/PMC6145203&quot;,&quot;issued&quot;:{&quot;date-parts&quot;:[[2018,9,19]]},&quot;page&quot;:&quot;71-71&quot;,&quot;abstract&quot;:&quot;Nanomedicine and nano delivery systems are a relatively new but rapidly developing science where materials in the nanoscale range are employed to serve as means of diagnostic tools or to deliver therapeutic agents to specific targeted sites in a controlled manner. Nanotechnology offers multiple benefits in treating chronic human diseases by site-specific, and target-oriented delivery of precise medicines. Recently, there are a number of outstanding applications of the nanomedicine (chemotherapeutic agents, biological agents, immunotherapeutic agents etc.) in the treatment of various diseases. The current review, presents an updated summary of recent advances in the field of nanomedicines and nano based drug delivery systems through comprehensive scrutiny of the discovery and application of nanomaterials in improving both the efficacy of novel and old drugs (e.g., natural products) and selective diagnosis through disease marker molecules. The opportunities and challenges of nanomedicines in drug delivery from synthetic/natural sources to their clinical applications are also discussed. In addition, we have included information regarding the trends and perspectives in nanomedicine area.&quot;,&quot;publisher&quot;:&quot;BioMed Central Ltd&quot;,&quot;issue&quot;:&quot;1&quot;,&quot;volume&quot;:&quot;16&quot;},&quot;isTemporary&quot;:false}]},{&quot;citationID&quot;:&quot;MENDELEY_CITATION_c5a326d1-b1dd-458d-be48-b5548910032c&quot;,&quot;properties&quot;:{&quot;noteIndex&quot;:0},&quot;isEdited&quot;:false,&quot;manualOverride&quot;:{&quot;isManuallyOverridden&quot;:false,&quot;citeprocText&quot;:&quot;[9]&quot;,&quot;manualOverrideText&quot;:&quot;&quot;},&quot;citationTag&quot;:&quot;MENDELEY_CITATION_v3_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&quot;,&quot;citationItems&quot;:[{&quot;id&quot;:&quot;3fca337e-0471-3c25-92ae-a3a5e5de7c6e&quot;,&quot;itemData&quot;:{&quot;type&quot;:&quot;article-journal&quot;,&quot;id&quot;:&quot;3fca337e-0471-3c25-92ae-a3a5e5de7c6e&quot;,&quot;title&quot;:&quot;Recent advances in nanoparticle-mediated drug delivery&quot;,&quot;author&quot;:[{&quot;family&quot;:&quot;Kumar&quot;,&quot;given&quot;:&quot;Bipul&quot;,&quot;parse-names&quot;:false,&quot;dropping-particle&quot;:&quot;&quot;,&quot;non-dropping-particle&quot;:&quot;&quot;},{&quot;family&quot;:&quot;Jalodia&quot;,&quot;given&quot;:&quot;Kanika&quot;,&quot;parse-names&quot;:false,&quot;dropping-particle&quot;:&quot;&quot;,&quot;non-dropping-particle&quot;:&quot;&quot;},{&quot;family&quot;:&quot;Kumar&quot;,&quot;given&quot;:&quot;Pradeep&quot;,&quot;parse-names&quot;:false,&quot;dropping-particle&quot;:&quot;&quot;,&quot;non-dropping-particle&quot;:&quot;&quot;},{&quot;family&quot;:&quot;Gautam&quot;,&quot;given&quot;:&quot;Hemant K.&quot;,&quot;parse-names&quot;:false,&quot;dropping-particle&quot;:&quot;&quot;,&quot;non-dropping-particle&quot;:&quot;&quot;}],&quot;container-title&quot;:&quot;Journal of Drug Delivery Science and Technology&quot;,&quot;container-title-short&quot;:&quot;J. Drug Deliv. Sci. Technol.&quot;,&quot;accessed&quot;:{&quot;date-parts&quot;:[[2026,2,10]]},&quot;DOI&quot;:&quot;10.1016/j.jddst.2017.07.019&quot;,&quot;ISSN&quot;:&quot;17732247&quot;,&quot;issued&quot;:{&quot;date-parts&quot;:[[2017,10,1]]},&quot;page&quot;:&quot;260-268&quot;,&quot;abstract&quot;:&quot;The engrossment towards controlled drug delivery seeks the development of suitable drug carriers that can transmit a sufficient dose of the drug to diseased lesions. Various nanostructures including liposomes, polymers, dendrimers, and magnetic nanoparticles have been tested as carriers in drug delivery. Nanoparticles make it possible to achieve improved delivery of drugs which are poorly soluble in water by delivering drug of small particle size allowing faster dissolution in blood stream leading to targeted drug delivery in a cell- or tissue-specific manner. This article provides an overview of the recent developments in the preparation and use of nanoparticles in drug delivery.&quot;,&quot;publisher&quot;:&quot;Editions de Sante&quot;,&quot;volume&quot;:&quot;41&quot;},&quot;isTemporary&quot;:false}]},{&quot;citationID&quot;:&quot;MENDELEY_CITATION_e011b2fe-b2cf-41b3-a91b-e53097d9bd79&quot;,&quot;properties&quot;:{&quot;noteIndex&quot;:0},&quot;isEdited&quot;:false,&quot;manualOverride&quot;:{&quot;isManuallyOverridden&quot;:false,&quot;citeprocText&quot;:&quot;[10]&quot;,&quot;manualOverrideText&quot;:&quot;&quot;},&quot;citationTag&quot;:&quot;MENDELEY_CITATION_v3_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&quot;,&quot;citationItems&quot;:[{&quot;id&quot;:&quot;ebcbac33-f2c9-30bc-a48e-3a834141d062&quot;,&quot;itemData&quot;:{&quot;type&quot;:&quot;article-journal&quot;,&quot;id&quot;:&quot;ebcbac33-f2c9-30bc-a48e-3a834141d062&quot;,&quot;title&quot;:&quot;Development and optimization of quercetin-loaded plga nanoparticles by experimental design&quot;,&quot;author&quot;:[{&quot;family&quot;:&quot;Tefas&quot;,&quot;given&quot;:&quot;Lucia Ruxandra&quot;,&quot;parse-names&quot;:false,&quot;dropping-particle&quot;:&quot;&quot;,&quot;non-dropping-particle&quot;:&quot;&quot;},{&quot;family&quot;:&quot;Tomuţă&quot;,&quot;given&quot;:&quot;Ioan&quot;,&quot;parse-names&quot;:false,&quot;dropping-particle&quot;:&quot;&quot;,&quot;non-dropping-particle&quot;:&quot;&quot;},{&quot;family&quot;:&quot;Achim&quot;,&quot;given&quot;:&quot;Marcela&quot;,&quot;parse-names&quot;:false,&quot;dropping-particle&quot;:&quot;&quot;,&quot;non-dropping-particle&quot;:&quot;&quot;},{&quot;family&quot;:&quot;Vlase&quot;,&quot;given&quot;:&quot;Laurian&quot;,&quot;parse-names&quot;:false,&quot;dropping-particle&quot;:&quot;&quot;,&quot;non-dropping-particle&quot;:&quot;&quot;}],&quot;container-title&quot;:&quot;Clujul Medical&quot;,&quot;accessed&quot;:{&quot;date-parts&quot;:[[2026,2,10]]},&quot;DOI&quot;:&quot;10.15386/cjmed-418&quot;,&quot;ISSN&quot;:&quot;20668872&quot;,&quot;URL&quot;:&quot;https://www.researchgate.net/publication/277361094_Development_and_optimization_of_quercetin-loaded_PLGA_nanoparticles_by_experimental_design&quot;,&quot;issued&quot;:{&quot;date-parts&quot;:[[2015]]},&quot;page&quot;:&quot;214-223&quot;,&quot;abstract&quot;:&quot;Background and aims: Quercetin is a flavonoid with good antioxidant activity, and exhibits various important pharmacological effects. The aim of the present work was to study the influence of formulation factors on the physicochemical properties of quercetin-loaded polymeric nanoparticles in order to optimize the formulation. Materials and methods: The nanoparticles were prepared by the nanoprecipitation method. A 3-factor, 3-level Box-Behnken design was employed in this study considering poly(D,L-lactic-co-glycolic) acid (PLGA) concentration, polyvinyl alcohol (PVA) concentration and the stirring speed as independent variables. The responses were particle size, polydispersity index, zeta potential and encapsulation efficiency. Results: The PLGA concentration seemed to be the most important factor influencing quercetin-nanoparticle characteristics. Increasing PLGA concentration led to an increase in particle size, as well as encapsulation efficiency. On the other hand, it exhibited a negative influence on the polydispersity index and zeta potential. The PVA concentration and the stirring speed had only a slight influence on particle size and polydispersity index. However, PVA concentration had an important negative effect on the encapsulation efficiency. Based on the results obtained, an optimized formulation was prepared, and the experimental values were comparable to the predicted ones. Conclusions: The overall results indicated that PLGA concentration was the main factor influencing particle size, while entrapment efficiency was predominantly affected by the PVA concentration.&quot;,&quot;publisher&quot;:&quot;Universitatea de Medicina si Farmacie Iuliu Hatieganu&quot;,&quot;issue&quot;:&quot;2&quot;,&quot;volume&quot;:&quot;88&quot;,&quot;container-title-short&quot;:&quot;&quot;},&quot;isTemporary&quot;:false}]},{&quot;citationID&quot;:&quot;MENDELEY_CITATION_97f93418-96fb-4270-a1bc-f60f8cfd7915&quot;,&quot;properties&quot;:{&quot;noteIndex&quot;:0},&quot;isEdited&quot;:false,&quot;manualOverride&quot;:{&quot;isManuallyOverridden&quot;:false,&quot;citeprocText&quot;:&quot;[11]&quot;,&quot;manualOverrideText&quot;:&quot;&quot;},&quot;citationTag&quot;:&quot;MENDELEY_CITATION_v3_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&quot;,&quot;citationItems&quot;:[{&quot;id&quot;:&quot;7885fad0-23f8-303d-a85c-2d3555fd65e9&quot;,&quot;itemData&quot;:{&quot;type&quot;:&quot;article-journal&quot;,&quot;id&quot;:&quot;7885fad0-23f8-303d-a85c-2d3555fd65e9&quot;,&quot;title&quot;:&quot;Formulation development and characterization of quercetin loaded poly caprolactone nanoparticles for tumors Desenvolvimento de formulações e caracterização de nanopartículas de policaprolactona carregadas de quercetina para tumores&quot;,&quot;author&quot;:[{&quot;family&quot;:&quot;Kashif&quot;,&quot;given&quot;:&quot;Muhammad&quot;,&quot;parse-names&quot;:false,&quot;dropping-particle&quot;:&quot;&quot;,&quot;non-dropping-particle&quot;:&quot;&quot;},{&quot;family&quot;:&quot;Ali&quot;,&quot;given&quot;:&quot;Murad&quot;,&quot;parse-names&quot;:false,&quot;dropping-particle&quot;:&quot;&quot;,&quot;non-dropping-particle&quot;:&quot;&quot;},{&quot;family&quot;:&quot;Naz&quot;,&quot;given&quot;:&quot;Saira&quot;,&quot;parse-names&quot;:false,&quot;dropping-particle&quot;:&quot;&quot;,&quot;non-dropping-particle&quot;:&quot;&quot;},{&quot;family&quot;:&quot;Amir&quot;,&quot;given&quot;:&quot;Jalal&quot;,&quot;parse-names&quot;:false,&quot;dropping-particle&quot;:&quot;&quot;,&quot;non-dropping-particle&quot;:&quot;&quot;},{&quot;family&quot;:&quot;Murad&quot;,&quot;given&quot;:&quot;Shafaq&quot;,&quot;parse-names&quot;:false,&quot;dropping-particle&quot;:&quot;&quot;,&quot;non-dropping-particle&quot;:&quot;&quot;},{&quot;family&quot;:&quot;Atif&quot;,&quot;given&quot;:&quot;Muhammad&quot;,&quot;parse-names&quot;:false,&quot;dropping-particle&quot;:&quot;&quot;,&quot;non-dropping-particle&quot;:&quot;&quot;},{&quot;family&quot;:&quot;Ali&quot;,&quot;given&quot;:&quot;Osama&quot;,&quot;parse-names&quot;:false,&quot;dropping-particle&quot;:&quot;&quot;,&quot;non-dropping-particle&quot;:&quot;&quot;},{&quot;family&quot;:&quot;Ullah&quot;,&quot;given&quot;:&quot;Saif&quot;,&quot;parse-names&quot;:false,&quot;dropping-particle&quot;:&quot;&quot;,&quot;non-dropping-particle&quot;:&quot;&quot;},{&quot;family&quot;:&quot;Aleena&quot;,&quot;given&quot;:&quot;Seeqal&quot;,&quot;parse-names&quot;:false,&quot;dropping-particle&quot;:&quot;&quot;,&quot;non-dropping-particle&quot;:&quot;&quot;},{&quot;family&quot;:&quot;Khan&quot;,&quot;given&quot;:&quot;Naqash&quot;,&quot;parse-names&quot;:false,&quot;dropping-particle&quot;:&quot;&quot;,&quot;non-dropping-particle&quot;:&quot;&quot;},{&quot;family&quot;:&quot;Khan&quot;,&quot;given&quot;:&quot;Muhammad Younis&quot;,&quot;parse-names&quot;:false,&quot;dropping-particle&quot;:&quot;&quot;,&quot;non-dropping-particle&quot;:&quot;&quot;}],&quot;DOI&quot;:&quot;10.14295/bjs.v3i2.494&quot;,&quot;issued&quot;:{&quot;date-parts&quot;:[[2024]]},&quot;page&quot;:&quot;82-92&quot;,&quot;issue&quot;:&quot;2&quot;,&quot;volume&quot;:&quot;3&quot;,&quot;container-title-short&quot;:&quot;&quot;},&quot;isTemporary&quot;:false}]},{&quot;citationID&quot;:&quot;MENDELEY_CITATION_3689523e-9df5-445b-8b38-e2776018522c&quot;,&quot;properties&quot;:{&quot;noteIndex&quot;:0},&quot;isEdited&quot;:false,&quot;manualOverride&quot;:{&quot;isManuallyOverridden&quot;:false,&quot;citeprocText&quot;:&quot;[12]&quot;,&quot;manualOverrideText&quot;:&quot;&quot;},&quot;citationTag&quot;:&quot;MENDELEY_CITATION_v3_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&quot;,&quot;citationItems&quot;:[{&quot;id&quot;:&quot;d5d7981a-61d8-3478-94cf-f75304814c2b&quot;,&quot;itemData&quot;:{&quot;type&quot;:&quot;article-journal&quot;,&quot;id&quot;:&quot;d5d7981a-61d8-3478-94cf-f75304814c2b&quot;,&quot;title&quot;:&quot;Preparation, physicochemical characterization, and antioxidant effects of quercetin nanoparticles&quot;,&quot;author&quot;:[{&quot;family&quot;:&quot;Wu&quot;,&quot;given&quot;:&quot;Tzu Hui&quot;,&quot;parse-names&quot;:false,&quot;dropping-particle&quot;:&quot;&quot;,&quot;non-dropping-particle&quot;:&quot;&quot;},{&quot;family&quot;:&quot;Yen&quot;,&quot;given&quot;:&quot;Feng Lin&quot;,&quot;parse-names&quot;:false,&quot;dropping-particle&quot;:&quot;&quot;,&quot;non-dropping-particle&quot;:&quot;&quot;},{&quot;family&quot;:&quot;Lin&quot;,&quot;given&quot;:&quot;Liang Tzung&quot;,&quot;parse-names&quot;:false,&quot;dropping-particle&quot;:&quot;&quot;,&quot;non-dropping-particle&quot;:&quot;&quot;},{&quot;family&quot;:&quot;Tsai&quot;,&quot;given&quot;:&quot;Tong Rong&quot;,&quot;parse-names&quot;:false,&quot;dropping-particle&quot;:&quot;&quot;,&quot;non-dropping-particle&quot;:&quot;&quot;},{&quot;family&quot;:&quot;Lin&quot;,&quot;given&quot;:&quot;Chun Ching&quot;,&quot;parse-names&quot;:false,&quot;dropping-particle&quot;:&quot;&quot;,&quot;non-dropping-particle&quot;:&quot;&quot;},{&quot;family&quot;:&quot;Cham&quot;,&quot;given&quot;:&quot;Thau Ming&quot;,&quot;parse-names&quot;:false,&quot;dropping-particle&quot;:&quot;&quot;,&quot;non-dropping-particle&quot;:&quot;&quot;}],&quot;container-title&quot;:&quot;International journal of pharmaceutics&quot;,&quot;container-title-short&quot;:&quot;Int. J. Pharm.&quot;,&quot;accessed&quot;:{&quot;date-parts&quot;:[[2026,2,10]]},&quot;DOI&quot;:&quot;10.1016/j.ijpharm.2007.06.036&quot;,&quot;ISSN&quot;:&quot;03785173&quot;,&quot;PMID&quot;:&quot;17689897&quot;,&quot;URL&quot;:&quot;https://pubmed.ncbi.nlm.nih.gov/17689897/&quot;,&quot;issued&quot;:{&quot;date-parts&quot;:[[2008,1,4]]},&quot;page&quot;:&quot;160-168&quot;,&quot;abstract&quot;:&quot;The purpose of this study was to develop quercetin-loaded nanoparticles (QUEN) by a nanoprecipitation technique with Eudragit® E (EE) and polyvinyl alcohol (PVA) as carriers, and to evaluate the antioxidant effects of quercetin (QU) and of its nanoparticles. The novel QUEN systems were characterized by particle size and morphology, yield and encapsulation efficiency, differential scanning calorimetry (DSC), powder X-ray diffraction (XRD), Fourier transform infrared spectroscopy (FT-IR), 1H nuclear magnetic resonance (1H NMR), and dissolution study. It was observed that the weight ratio of QU:EE:PVA at 1:10:10 carried a particle size of &lt;85 nm, a particle distribution with polydispersity index &lt;0.3, and its yield and encapsulation efficiency were over 99%. The results from XRD and DSC of the QUEN showed that the crystal of the drug might be converted to an amorphous state. The FT-IR and 1H NMR demonstrated that QU formed intermolecular hydrogen bonding with carriers. The release of the drug from the QUEN was 74-fold higher compared with the pure drug. In addition, the antioxidant activity of the QUEN was more effective than pure QU on DPPH scavenging, anti-superoxide formation, superoxide anion scavenging, and anti-lipid peroxidation. © 2007 Elsevier B.V. All rights reserved.&quot;,&quot;publisher&quot;:&quot;Int J Pharm&quot;,&quot;issue&quot;:&quot;1-2&quot;,&quot;volume&quot;:&quot;346&quot;},&quot;isTemporary&quot;:false}]},{&quot;citationID&quot;:&quot;MENDELEY_CITATION_24e2d0a9-6732-4cb3-8662-028698694b38&quot;,&quot;properties&quot;:{&quot;noteIndex&quot;:0},&quot;isEdited&quot;:false,&quot;manualOverride&quot;:{&quot;isManuallyOverridden&quot;:false,&quot;citeprocText&quot;:&quot;[13]&quot;,&quot;manualOverrideText&quot;:&quot;&quot;},&quot;citationTag&quot;:&quot;MENDELEY_CITATION_v3_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&quot;,&quot;citationItems&quot;:[{&quot;id&quot;:&quot;2dece17d-b433-3acc-8113-cc0a73a351ec&quot;,&quot;itemData&quot;:{&quot;type&quot;:&quot;article-journal&quot;,&quot;id&quot;:&quot;2dece17d-b433-3acc-8113-cc0a73a351ec&quot;,&quot;title&quot;:&quot;Facile production of quercetin nanoparticles using 3D printed centrifugal flow reactors&quot;,&quot;author&quot;:[{&quot;family&quot;:&quot;Grandi&quot;,&quot;given&quot;:&quot;Davide&quot;,&quot;parse-names&quot;:false,&quot;dropping-particle&quot;:&quot;&quot;,&quot;non-dropping-particle&quot;:&quot;De&quot;},{&quot;family&quot;:&quot;Meghdadi&quot;,&quot;given&quot;:&quot;Alireza&quot;,&quot;parse-names&quot;:false,&quot;dropping-particle&quot;:&quot;&quot;,&quot;non-dropping-particle&quot;:&quot;&quot;},{&quot;family&quot;:&quot;LuTheryn&quot;,&quot;given&quot;:&quot;Gareth&quot;,&quot;parse-names&quot;:false,&quot;dropping-particle&quot;:&quot;&quot;,&quot;non-dropping-particle&quot;:&quot;&quot;},{&quot;family&quot;:&quot;Carugo&quot;,&quot;given&quot;:&quot;Dario&quot;,&quot;parse-names&quot;:false,&quot;dropping-particle&quot;:&quot;&quot;,&quot;non-dropping-particle&quot;:&quot;&quot;}],&quot;container-title&quot;:&quot;RSC Advances&quot;,&quot;container-title-short&quot;:&quot;RSC Adv.&quot;,&quot;accessed&quot;:{&quot;date-parts&quot;:[[2026,2,10]]},&quot;DOI&quot;:&quot;10.1039/d2ra02745c&quot;,&quot;ISSN&quot;:&quot;20462069&quot;,&quot;PMID&quot;:&quot;35919149&quot;,&quot;URL&quot;:&quot;https://pmc.ncbi.nlm.nih.gov/articles/PMC9295137/&quot;,&quot;issued&quot;:{&quot;date-parts&quot;:[[2022,7,19]]},&quot;page&quot;:&quot;20696&quot;,&quot;abstract&quot;:&quot;Drug nanocrystals are a delivery system comprised of an active pharmaceutical ingredient, with small amounts of a surface stabilizer. Despite offering simplicity in formulation, their manufacture can be a challenging endeavour; this is especially true when the production is performed using microfluidic devices. Although precipitation within microchannels can lead to issues such as clogging, microfluidics is an appealing manufacturing method as it provides fine control over mixing conditions. This allows production of nanoparticles with a narrower size distribution and greater reproducibility compared to batch methods. To generate microfluidic devices cost effectively, replica moulding techniques are considered the manufacturing standard. Due to its simplicity and relatively low cost, 3D printing has become prevalent at the laboratory scale, especially during iterative development of new devices. A challenge of microfluidic-based methods is that they require specialized equipment and multi-step procedures, making them less accessible to users with no previous experience. In a recent study we developed a 3D printed flow-through reactor, referred to as reactor-in-a-centrifuge (RIAC). It is a simple device designed to fit in a 50 mL tube and actuated using a laboratory centrifuge, which removes the need for specialized instrumentation. The manufacturing capabilities of the RIAC have been already proven, by reproducible production of liposomes and silver nanoparticles. The present work demonstrates the use of RIACs with a straight- and spiral-shaped channel architecture to produce quercetin nanocrystals, with therapeutically relevant size (190-302 nm) and very low size dispersity (polydispersity index, PDI &lt; 0.1). The work focused on evaluating how changes in operational parameters (actuation speed) and formulation components (medium viscosity and stabilizer type), impacted on nanocrystal size and PDI. Under all tested conditions the obtained nanocrystals had a smaller size and narrower size distribution, when compared to those produced with alternative methods. The obtained quercetin nanosuspensions however showed limited stability, which should be addressed in future investigations. The simplicity of the RIAC makes it an appealing technology to research groups, especially in low-resource settings and without prior expertise in microfluidics.&quot;,&quot;publisher&quot;:&quot;Royal Society of Chemistry&quot;,&quot;issue&quot;:&quot;32&quot;,&quot;volume&quot;:&quot;12&quot;},&quot;isTemporary&quot;:false}]},{&quot;citationID&quot;:&quot;MENDELEY_CITATION_06d19ebb-de54-4734-a485-d71e002d633a&quot;,&quot;properties&quot;:{&quot;noteIndex&quot;:0},&quot;isEdited&quot;:false,&quot;manualOverride&quot;:{&quot;isManuallyOverridden&quot;:false,&quot;citeprocText&quot;:&quot;[14]&quot;,&quot;manualOverrideText&quot;:&quot;&quot;},&quot;citationTag&quot;:&quot;MENDELEY_CITATION_v3_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&quot;,&quot;citationItems&quot;:[{&quot;id&quot;:&quot;bf7dd3e7-dd51-3b9f-ac85-e1cd05eb3df0&quot;,&quot;itemData&quot;:{&quot;type&quot;:&quot;article-journal&quot;,&quot;id&quot;:&quot;bf7dd3e7-dd51-3b9f-ac85-e1cd05eb3df0&quot;,&quot;title&quot;:&quot;Design and advanced characterization of quercetin-loaded nano-liposomes prepared by high-pressure homogenization&quot;,&quot;author&quot;:[{&quot;family&quot;:&quot;Melchior&quot;,&quot;given&quot;:&quot;Sofia&quot;,&quot;parse-names&quot;:false,&quot;dropping-particle&quot;:&quot;&quot;,&quot;non-dropping-particle&quot;:&quot;&quot;},{&quot;family&quot;:&quot;Codrich&quot;,&quot;given&quot;:&quot;Marta&quot;,&quot;parse-names&quot;:false,&quot;dropping-particle&quot;:&quot;&quot;,&quot;non-dropping-particle&quot;:&quot;&quot;},{&quot;family&quot;:&quot;Gorassini&quot;,&quot;given&quot;:&quot;Andrea&quot;,&quot;parse-names&quot;:false,&quot;dropping-particle&quot;:&quot;&quot;,&quot;non-dropping-particle&quot;:&quot;&quot;},{&quot;family&quot;:&quot;Mehn&quot;,&quot;given&quot;:&quot;Dora&quot;,&quot;parse-names&quot;:false,&quot;dropping-particle&quot;:&quot;&quot;,&quot;non-dropping-particle&quot;:&quot;&quot;},{&quot;family&quot;:&quot;Ponti&quot;,&quot;given&quot;:&quot;Jessica&quot;,&quot;parse-names&quot;:false,&quot;dropping-particle&quot;:&quot;&quot;,&quot;non-dropping-particle&quot;:&quot;&quot;},{&quot;family&quot;:&quot;Verardo&quot;,&quot;given&quot;:&quot;Giancarlo&quot;,&quot;parse-names&quot;:false,&quot;dropping-particle&quot;:&quot;&quot;,&quot;non-dropping-particle&quot;:&quot;&quot;},{&quot;family&quot;:&quot;Tell&quot;,&quot;given&quot;:&quot;Gianluca&quot;,&quot;parse-names&quot;:false,&quot;dropping-particle&quot;:&quot;&quot;,&quot;non-dropping-particle&quot;:&quot;&quot;},{&quot;family&quot;:&quot;Calzolai&quot;,&quot;given&quot;:&quot;Luigi&quot;,&quot;parse-names&quot;:false,&quot;dropping-particle&quot;:&quot;&quot;,&quot;non-dropping-particle&quot;:&quot;&quot;},{&quot;family&quot;:&quot;Calligaris&quot;,&quot;given&quot;:&quot;Sonia&quot;,&quot;parse-names&quot;:false,&quot;dropping-particle&quot;:&quot;&quot;,&quot;non-dropping-particle&quot;:&quot;&quot;}],&quot;container-title&quot;:&quot;Food Chemistry&quot;,&quot;container-title-short&quot;:&quot;Food Chem.&quot;,&quot;accessed&quot;:{&quot;date-parts&quot;:[[2026,2,10]]},&quot;DOI&quot;:&quot;10.1016/j.foodchem.2023.136680&quot;,&quot;ISSN&quot;:&quot;18737072&quot;,&quot;PMID&quot;:&quot;37418880&quot;,&quot;URL&quot;:&quot;https://www.sciencedirect.com/science/article/pii/S0308814623012980&quot;,&quot;issued&quot;:{&quot;date-parts&quot;:[[2023,12,1]]},&quot;page&quot;:&quot;136680&quot;,&quot;abstract&quot;:&quot;Quercetin-loaded nano-liposomes were prepared by high-pressure homogenization (HPH) at different pressures (up to 150 MPa) and number of passes (up to 3) to define the best processing conditions allowing the lowest particle size and the highest encapsulation efficiency (EE). The process at 150 MPa for 1 pass was the best, producing quercetin-loaded liposomes with the lowest particle size and 42% EE. Advanced techniques (multi-detector asymmetrical-flow field flow fractionation and analytical ultracentrifugation combined with transmission electron microscopy) were further used for the characterization of the liposomes which were oblong in shape (ca. 30 nm). Results highlight the need for several techniques to study nano-sized, polydisperse samples. The potential of quercetin-loaded liposomes against colon cancer cells was demonstrated. Results prove that HPH is an efficient and sustainable method for liposome preparation and highlight the remarkable role of process optimisation as well as the powerfulness of advanced methodologies for the characterisation of nano-structures.&quot;,&quot;publisher&quot;:&quot;Elsevier&quot;,&quot;volume&quot;:&quot;428&quot;},&quot;isTemporary&quot;:false}]},{&quot;citationID&quot;:&quot;MENDELEY_CITATION_58b34969-fde0-42a0-b1d6-52127a209922&quot;,&quot;properties&quot;:{&quot;noteIndex&quot;:0},&quot;isEdited&quot;:false,&quot;manualOverride&quot;:{&quot;isManuallyOverridden&quot;:false,&quot;citeprocText&quot;:&quot;[15]&quot;,&quot;manualOverrideText&quot;:&quot;&quot;},&quot;citationTag&quot;:&quot;MENDELEY_CITATION_v3_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&quot;,&quot;citationItems&quot;:[{&quot;id&quot;:&quot;3037fea5-a6c6-3e96-a1e0-e517355d40ba&quot;,&quot;itemData&quot;:{&quot;type&quot;:&quot;webpage&quot;,&quot;id&quot;:&quot;3037fea5-a6c6-3e96-a1e0-e517355d40ba&quot;,&quot;title&quot;:&quot;(PDF) QUERCETIN NANOPARTICLES: PREPARATION AND CHARACTERIZATION&quot;,&quot;accessed&quot;:{&quot;date-parts&quot;:[[2026,2,10]]},&quot;URL&quot;:&quot;https://www.researchgate.net/publication/309418322_QUERCETIN_NANOPARTICLES_PREPARATION_AND_CHARACTERIZATION&quot;,&quot;container-title-short&quot;:&quot;&quot;},&quot;isTemporary&quot;:false}]},{&quot;citationID&quot;:&quot;MENDELEY_CITATION_7acbe278-d1df-4df8-b8f1-50fe6918c62b&quot;,&quot;properties&quot;:{&quot;noteIndex&quot;:0},&quot;isEdited&quot;:false,&quot;manualOverride&quot;:{&quot;isManuallyOverridden&quot;:false,&quot;citeprocText&quot;:&quot;[16]&quot;,&quot;manualOverrideText&quot;:&quot;&quot;},&quot;citationTag&quot;:&quot;MENDELEY_CITATION_v3_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&quot;,&quot;citationItems&quot;:[{&quot;id&quot;:&quot;379a12d0-86a7-38f6-963a-2e1d18db3c81&quot;,&quot;itemData&quot;:{&quot;type&quot;:&quot;article-journal&quot;,&quot;id&quot;:&quot;379a12d0-86a7-38f6-963a-2e1d18db3c81&quot;,&quot;title&quot;:&quot;Green synthesis of silver and gold nanoparticles using quercetin extracted from Arctium lappa by HPLC, Characterization and Estimation of antioxidant activity&quot;,&quot;author&quot;:[{&quot;family&quot;:&quot;Lafta&quot;,&quot;given&quot;:&quot;Mahmood Zaki&quot;,&quot;parse-names&quot;:false,&quot;dropping-particle&quot;:&quot;&quot;,&quot;non-dropping-particle&quot;:&quot;&quot;},{&quot;family&quot;:&quot;Hameed Al-Samarrai&quot;,&quot;given&quot;:&quot;Rafah Razooq&quot;,&quot;parse-names&quot;:false,&quot;dropping-particle&quot;:&quot;&quot;,&quot;non-dropping-particle&quot;:&quot;&quot;},{&quot;family&quot;:&quot;Bouaziz&quot;,&quot;given&quot;:&quot;Mohamed&quot;,&quot;parse-names&quot;:false,&quot;dropping-particle&quot;:&quot;&quot;,&quot;non-dropping-particle&quot;:&quot;&quot;}],&quot;container-title&quot;:&quot;Results in Chemistry&quot;,&quot;container-title-short&quot;:&quot;Results Chem.&quot;,&quot;accessed&quot;:{&quot;date-parts&quot;:[[2026,2,10]]},&quot;DOI&quot;:&quot;10.1016/j.rechem.2025.102028&quot;,&quot;ISSN&quot;:&quot;22117156&quot;,&quot;URL&quot;:&quot;https://doi.org/10.1007/978-981-15-4716-4_15&quot;,&quot;issued&quot;:{&quot;date-parts&quot;:[[2025,1,1]]},&quot;page&quot;:&quot;102028&quot;,&quot;abstract&quot;:&quot;Arctium lappa is a therapeutic plant high in bioactive components, including flavonoids, which have antioxidant, anti-inflammatory, and antibacterial effects. Quercetin, a major flavonoid, is recognized for its pharmacological properties. The purpose of this study was to extract quercetin from A. lappa and use it for the green synthesis of gold (AuNPs) and silver nanoparticles (AgNPs) to evaluate their antioxidant properties. Quercetin was extracted using the Soxhlet method with petroleum ether, chloroform, and methanol. Quercetin was purified using hydrolysis and crystallization before being characterized using HPLC, UV–Vis, FTIR, and NMR methods. Laser ablation was used to synthesize AuNPs and AgNPs, with extracted quercetin acting as a reducing agent. The nanoparticles were examined with SEM, TEM, and XRD. Antioxidant activity was measured using the DPPH free radical scavenging test, and IC50 values were generated to compare to standard ascorbic acid.HPLC indicated that the maximum quantity of quercetin (98.6 %) was achieved using chloroform extraction. AgNPs had a spherical shape via a typical size of 20–40 nm, whereas AuNPs ranged from 80-160 nm. AgNPs had the highest antioxidant capacity (89.59 %), followed by AuNPs (83.32 %) and quercetin (73.22 %). The IC50 values were 100.4 µg/mL, 120.8 µg/mL, and 146.36 µg/mL, respectively.The researchers effectively extracted quercetin from A. lappa and created AuNPs and AgNPs with significant antioxidant characteristics. AgNPs demonstrated superior free radical scavenging activity, indicating their potential use in biomedical applications, notably antioxidant therapy. More research is needed to understand their medicinal potential fully.&quot;,&quot;publisher&quot;:&quot;Elsevier&quot;,&quot;volume&quot;:&quot;13&quot;},&quot;isTemporary&quot;:false}]},{&quot;citationID&quot;:&quot;MENDELEY_CITATION_5e522565-b14a-4f97-bfac-3051aea5b6b7&quot;,&quot;properties&quot;:{&quot;noteIndex&quot;:0},&quot;isEdited&quot;:false,&quot;manualOverride&quot;:{&quot;isManuallyOverridden&quot;:false,&quot;citeprocText&quot;:&quot;[17]&quot;,&quot;manualOverrideText&quot;:&quot;&quot;},&quot;citationTag&quot;:&quot;MENDELEY_CITATION_v3_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&quot;,&quot;citationItems&quot;:[{&quot;id&quot;:&quot;f0172137-75e6-3436-abc2-395c75f7579e&quot;,&quot;itemData&quot;:{&quot;type&quot;:&quot;article-journal&quot;,&quot;id&quot;:&quot;f0172137-75e6-3436-abc2-395c75f7579e&quot;,&quot;title&quot;:&quot;Natural and engineered nano and colloidal transport: Role of zeta potential in prediction of particle deposition&quot;,&quot;author&quot;:[{&quot;family&quot;:&quot;Wang&quot;,&quot;given&quot;:&quot;Peng&quot;,&quot;parse-names&quot;:false,&quot;dropping-particle&quot;:&quot;&quot;,&quot;non-dropping-particle&quot;:&quot;&quot;},{&quot;family&quot;:&quot;Keller&quot;,&quot;given&quot;:&quot;Arturo A.&quot;,&quot;parse-names&quot;:false,&quot;dropping-particle&quot;:&quot;&quot;,&quot;non-dropping-particle&quot;:&quot;&quot;}],&quot;container-title&quot;:&quot;Langmuir&quot;,&quot;accessed&quot;:{&quot;date-parts&quot;:[[2026,2,10]]},&quot;DOI&quot;:&quot;10.1021/la900134f&quot;,&quot;ISSN&quot;:&quot;07437463&quot;,&quot;issued&quot;:{&quot;date-parts&quot;:[[2009,6,16]]},&quot;page&quot;:&quot;6856-6862&quot;,&quot;abstract&quot;:&quot;This study is designed to answer the question of whether the zeta-potential measurement of natural and engineered nano and colloidal particles can be used as a general predictor for their transport and deposition within porous medium. The transport and deposition of engineered zeolite particles and natural colloids (soil and sediment colloids) was studied and evaluated considering their zeta-potential measurement. The zeta-potential of Ca 2+ or K + saturated zeolite particles increased (i.e., became less negative) with increasing bulk ionic strength, independent of the cation species in the bulk solution, while the zeta-potential of Ca 2+ or K + saturated natural colloids was dependent on the cation species in the bulk solution, unexpectedly decreasing with the bulk K + concentrations while increasing with bulk Ca 2+ concentrations (10 -5 to 10 -2M). The particle deposition rate coefficient (κ) was sensitive to the cation species in the bulk solution and on the cation exchangeable sites of the particle surfaces. The trend of the zeta-potential of the natural colloids, especially with simple electrolytes in bulk solution, was at odds with that of k under the same conditions, indicating that the zeta-potential of these natural colloids could not be used to adequately predict their transport and deposition. The observed anomaly is a direct result of surface heterogeneity and hydrophobicity of natural colloids, and it points out the important difference between natural and engineered nano and colloidal particles in terms of their transport and deposition prediction. © 2009 American Chemical Society.&quot;,&quot;issue&quot;:&quot;12&quot;,&quot;volume&quot;:&quot;25&quot;,&quot;container-title-short&quot;:&quot;&quot;},&quot;isTemporary&quot;:false}]},{&quot;citationID&quot;:&quot;MENDELEY_CITATION_33846415-6fc5-41fa-9b44-62ab49cd8564&quot;,&quot;properties&quot;:{&quot;noteIndex&quot;:0},&quot;isEdited&quot;:false,&quot;manualOverride&quot;:{&quot;isManuallyOverridden&quot;:false,&quot;citeprocText&quot;:&quot;[18]&quot;,&quot;manualOverrideText&quot;:&quot;&quot;},&quot;citationTag&quot;:&quot;MENDELEY_CITATION_v3_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&quot;,&quot;citationItems&quot;:[{&quot;id&quot;:&quot;2922810b-dcb6-3e3c-8347-4b643deb55ab&quot;,&quot;itemData&quot;:{&quot;type&quot;:&quot;article-journal&quot;,&quot;id&quot;:&quot;2922810b-dcb6-3e3c-8347-4b643deb55ab&quot;,&quot;title&quot;:&quot;Optimization of atorvastatin and quercetin-loaded solid lipid nanoparticles using Box-Behnken design&quot;,&quot;author&quot;:[{&quot;family&quot;:&quot;Lalchandani&quot;,&quot;given&quot;:&quot;Dimple S.&quot;,&quot;parse-names&quot;:false,&quot;dropping-particle&quot;:&quot;&quot;,&quot;non-dropping-particle&quot;:&quot;&quot;},{&quot;family&quot;:&quot;Chenkual&quot;,&quot;given&quot;:&quot;Laltanpuii&quot;,&quot;parse-names&quot;:false,&quot;dropping-particle&quot;:&quot;&quot;,&quot;non-dropping-particle&quot;:&quot;&quot;},{&quot;family&quot;:&quot;Sonpasare&quot;,&quot;given&quot;:&quot;Kailas&quot;,&quot;parse-names&quot;:false,&quot;dropping-particle&quot;:&quot;&quot;,&quot;non-dropping-particle&quot;:&quot;&quot;},{&quot;family&quot;:&quot;Rajdev&quot;,&quot;given&quot;:&quot;Bishal&quot;,&quot;parse-names&quot;:false,&quot;dropping-particle&quot;:&quot;&quot;,&quot;non-dropping-particle&quot;:&quot;&quot;},{&quot;family&quot;:&quot;Naidu&quot;,&quot;given&quot;:&quot;V. G.M.&quot;,&quot;parse-names&quot;:false,&quot;dropping-particle&quot;:&quot;&quot;,&quot;non-dropping-particle&quot;:&quot;&quot;},{&quot;family&quot;:&quot;Chella&quot;,&quot;given&quot;:&quot;Naveen&quot;,&quot;parse-names&quot;:false,&quot;dropping-particle&quot;:&quot;&quot;,&quot;non-dropping-particle&quot;:&quot;&quot;},{&quot;family&quot;:&quot;Porwal&quot;,&quot;given&quot;:&quot;Pawan Kumar&quot;,&quot;parse-names&quot;:false,&quot;dropping-particle&quot;:&quot;&quot;,&quot;non-dropping-particle&quot;:&quot;&quot;}],&quot;container-title&quot;:&quot;Nanomedicine&quot;,&quot;accessed&quot;:{&quot;date-parts&quot;:[[2026,2,10]]},&quot;DOI&quot;:&quot;10.1080/17435889.2024.2364585&quot;,&quot;ISSN&quot;:&quot;17486963&quot;,&quot;PMID&quot;:&quot;39012199&quot;,&quot;URL&quot;:&quot;https://pmc.ncbi.nlm.nih.gov/articles/PMC11321401/&quot;,&quot;issued&quot;:{&quot;date-parts&quot;:[[2024]]},&quot;page&quot;:&quot;1541&quot;,&quot;abstract&quot;:&quot;Aim: The study explores the synergistic potential of atorvastatin (ATR) and quercetin (QUER)- loaded solid lipid nanoparticles (SLN) in combating breast cancer. Materials &amp; methods: SLNs were synthesized using a high-shear homogenization method and optimized using Box-Behnken design. The SLNs were characterized and evaluated for their in vitro anticancer activity. Results: The optimized SLN exhibited narrow size distribution (PDI = 0.338 ± 0.034), a particle size of 72.5 ± 6.5 nm, higher entrapment efficiency (&lt;90%), sustained release and spherical surface particles. The in vitro cytotoxicity studies showed a significant reduction in IC50 values on MDA-MB-231 cell lines. Conclusion: We report a novel strategy of repurposing well-known drugs and encapsulating them into SLNs as a promising drug-delivery system against breast cancer.&quot;,&quot;publisher&quot;:&quot;Taylor and Francis Ltd.&quot;,&quot;issue&quot;:&quot;17&quot;,&quot;volume&quot;:&quot;19&quot;,&quot;container-title-short&quot;:&quot;&quot;},&quot;isTemporary&quot;:false}]},{&quot;citationID&quot;:&quot;MENDELEY_CITATION_37af92c8-4b8f-4f8d-a036-100e5d797082&quot;,&quot;properties&quot;:{&quot;noteIndex&quot;:0},&quot;isEdited&quot;:false,&quot;manualOverride&quot;:{&quot;isManuallyOverridden&quot;:false,&quot;citeprocText&quot;:&quot;[19]&quot;,&quot;manualOverrideText&quot;:&quot;&quot;},&quot;citationTag&quot;:&quot;MENDELEY_CITATION_v3_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&quot;,&quot;citationItems&quot;:[{&quot;id&quot;:&quot;434d830a-3d1f-3a03-b806-fedb52edf100&quot;,&quot;itemData&quot;:{&quot;type&quot;:&quot;article-journal&quot;,&quot;id&quot;:&quot;434d830a-3d1f-3a03-b806-fedb52edf100&quot;,&quot;title&quot;:&quot;Design of Quercetin-Loaded Natural Oil-Based Nanostructured Lipid Carriers for the Treatment of Bacterial Skin Infections&quot;,&quot;author&quot;:[{&quot;family&quot;:&quot;Barros&quot;,&quot;given&quot;:&quot;Dragana P.C.&quot;,&quot;parse-names&quot;:false,&quot;dropping-particle&quot;:&quot;&quot;,&quot;non-dropping-particle&quot;:&quot;de&quot;},{&quot;family&quot;:&quot;Santos&quot;,&quot;given&quot;:&quot;Rafaela&quot;,&quot;parse-names&quot;:false,&quot;dropping-particle&quot;:&quot;&quot;,&quot;non-dropping-particle&quot;:&quot;&quot;},{&quot;family&quot;:&quot;Reed&quot;,&quot;given&quot;:&quot;Patricia&quot;,&quot;parse-names&quot;:false,&quot;dropping-particle&quot;:&quot;&quot;,&quot;non-dropping-particle&quot;:&quot;&quot;},{&quot;family&quot;:&quot;Fonseca&quot;,&quot;given&quot;:&quot;Luís P.&quot;,&quot;parse-names&quot;:false,&quot;dropping-particle&quot;:&quot;&quot;,&quot;non-dropping-particle&quot;:&quot;&quot;},{&quot;family&quot;:&quot;Oliva&quot;,&quot;given&quot;:&quot;Abel&quot;,&quot;parse-names&quot;:false,&quot;dropping-particle&quot;:&quot;&quot;,&quot;non-dropping-particle&quot;:&quot;&quot;}],&quot;container-title&quot;:&quot;Molecules&quot;,&quot;accessed&quot;:{&quot;date-parts&quot;:[[2026,2,10]]},&quot;DOI&quot;:&quot;10.3390/molecules27248818&quot;,&quot;ISSN&quot;:&quot;14203049&quot;,&quot;PMID&quot;:&quot;36557947&quot;,&quot;URL&quot;:&quot;https://pmc.ncbi.nlm.nih.gov/articles/PMC9785768/&quot;,&quot;issued&quot;:{&quot;date-parts&quot;:[[2022,12,1]]},&quot;page&quot;:&quot;8818&quot;,&quot;abstract&quot;:&quot;The biological activity of natural plant-oil-based nanostructured lipid carriers (NPO-NLCs) can be enhanced by the encapsulation of bioactive compounds, and they in turn can improve topical delivery of the drugs. Quercetin (QR), a vital plant flavonoid, expresses antibacterial properties, and we recently showed that empty NPO-NLCs also have antimicrobial activity. The main objective of this study was to evaluate the synergetic effect of loading natural plant-oil-based nanostructured lipid carriers with quercetin (QR-NPO-NLCs) as a topical delivery system for the treatment of bacterial skin infections. Five nanostructured lipid carrier systems containing different oils (sunflower, olive, corn, coconut, and castor) were engineered. The particles’ stability, structural properties, bioavailability, and antimicrobial activity were studied. NLCs with an average size of &lt;200 nm and Z-potential of −40 mV were developed. Stable QR-NPO-NLCs were obtained with high encapsulation efficiency (&gt;99%). The encapsulation of QR decreased cytotoxicity and increased the antioxidant effect of nanocarriers. An increase in antibacterial activity of the systems containing QR was demonstrated against Staphylococcus aureus. QR-NPO-NLCs could transport QR to an intranuclear location within HaCaT cells, indicating that QR-NPO-NLCs are promising candidates for controlled topical drug delivery.&quot;,&quot;publisher&quot;:&quot;MDPI&quot;,&quot;issue&quot;:&quot;24&quot;,&quot;volume&quot;:&quot;27&quot;,&quot;container-title-short&quot;:&quot;&quot;},&quot;isTemporary&quot;:false}]},{&quot;citationID&quot;:&quot;MENDELEY_CITATION_34d1efcb-b40f-4144-9f2b-561e130050b0&quot;,&quot;properties&quot;:{&quot;noteIndex&quot;:0},&quot;isEdited&quot;:false,&quot;manualOverride&quot;:{&quot;isManuallyOverridden&quot;:false,&quot;citeprocText&quot;:&quot;[20]&quot;,&quot;manualOverrideText&quot;:&quot;&quot;},&quot;citationTag&quot;:&quot;MENDELEY_CITATION_v3_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&quot;,&quot;citationItems&quot;:[{&quot;id&quot;:&quot;8d079cd8-f81a-3e22-93d0-c193ef58a72e&quot;,&quot;itemData&quot;:{&quot;type&quot;:&quot;article-journal&quot;,&quot;id&quot;:&quot;8d079cd8-f81a-3e22-93d0-c193ef58a72e&quot;,&quot;title&quot;:&quot;The antitoxic effects of quercetin and quercetin-conjugated iron oxide nanoparticles (QNPs) against H2O2-induced toxicity in PC12 cells&quot;,&quot;author&quot;:[{&quot;family&quot;:&quot;Yarjanli&quot;,&quot;given&quot;:&quot;Zahra&quot;,&quot;parse-names&quot;:false,&quot;dropping-particle&quot;:&quot;&quot;,&quot;non-dropping-particle&quot;:&quot;&quot;},{&quot;family&quot;:&quot;Ghaedi&quot;,&quot;given&quot;:&quot;Kamran&quot;,&quot;parse-names&quot;:false,&quot;dropping-particle&quot;:&quot;&quot;,&quot;non-dropping-particle&quot;:&quot;&quot;},{&quot;family&quot;:&quot;Esmaeili&quot;,&quot;given&quot;:&quot;Abolghasem&quot;,&quot;parse-names&quot;:false,&quot;dropping-particle&quot;:&quot;&quot;,&quot;non-dropping-particle&quot;:&quot;&quot;},{&quot;family&quot;:&quot;Zarrabi&quot;,&quot;given&quot;:&quot;Ali&quot;,&quot;parse-names&quot;:false,&quot;dropping-particle&quot;:&quot;&quot;,&quot;non-dropping-particle&quot;:&quot;&quot;},{&quot;family&quot;:&quot;Rahgozar&quot;,&quot;given&quot;:&quot;Soheila&quot;,&quot;parse-names&quot;:false,&quot;dropping-particle&quot;:&quot;&quot;,&quot;non-dropping-particle&quot;:&quot;&quot;}],&quot;container-title&quot;:&quot;International Journal of Nanomedicine&quot;,&quot;container-title-short&quot;:&quot;Int. J. Nanomedicine&quot;,&quot;accessed&quot;:{&quot;date-parts&quot;:[[2026,2,10]]},&quot;DOI&quot;:&quot;10.2147/IJN.S212582&quot;,&quot;ISSN&quot;:&quot;11782013&quot;,&quot;PMID&quot;:&quot;31692568&quot;,&quot;URL&quot;:&quot;https://pmc.ncbi.nlm.nih.gov/articles/PMC6716587/&quot;,&quot;issued&quot;:{&quot;date-parts&quot;:[[2019]]},&quot;page&quot;:&quot;6813&quot;,&quot;abstract&quot;:&quot;Background: We recently showed that quercetin-conjugated iron oxide nanoparticles (QNPs) promoted the bioavailability of quercetin (Qu) in the brain of rats and improved the learning and memory of diabetic rats. In this study, we characterized the modifications in the antitoxic effects of Qu after conjugation. Materials and methods: We conjugated Qu to dextran-coated iron oxide nanoparticles (DNPs) and characterized DNPs and QNPs using FTIR, XRD, DLS, Fe-SEM, and EDX analyzes. The antiradical properties of Qu, DNPs, and QNPs were compared by 2, 2-diphenyl- 1-picrylhydrazyl (DPPH) scavenging activity assay. Catalase-like activities of DNPs and QNPs were estimated using catalase activity assay kit, and the antitoxic effects of Qu and QNPs were evaluated with spectrophotometry, MTT assay, flow cytometry, and real-time q-PCR. Results: Qu had a stronger anti-radical activity than DNPs and its activity decreased after being conjugated to DNPs. The catalase-like activity of DNPs remained intact after conjugation. DNPs had less toxicity on PC12 cells viabilities as compared to free Qu, and the conjugation of Qu with DNPs attenuated its cytotoxicity. Furthermore, MTT assay results indicated 24 h pretreatment with Qu had more protective effects than QNPs against H2O2- induced cytotoxicity, while Qu and QNPs had the same effects for 48 and 72 h incubation. Although the total antioxidant capacity of Qu was attenuated after conjugation, the results of flow cytometry and real-time q-PCR confirmed that 24 h pretreatment with the low concentrations of Qu and QNPs had the similar antioxidant, anti-inflammatory, and antiapoptotic effects against the cytotoxicity of H2O2. Conclusion: Qu and QNPs showed the similar protective activities against H2O2-induced toxicity in PC12 cells. Given the fact that QNPs have magnetic properties, they may serve as suitable carriers to be used in neural research and treatment.&quot;,&quot;publisher&quot;:&quot;Dove Medical Press Ltd.&quot;,&quot;volume&quot;:&quot;14&quot;},&quot;isTemporary&quot;:false}]},{&quot;citationID&quot;:&quot;MENDELEY_CITATION_4526b73c-3fac-4670-bdf1-2eff7fe1a402&quot;,&quot;properties&quot;:{&quot;noteIndex&quot;:0},&quot;isEdited&quot;:false,&quot;manualOverride&quot;:{&quot;isManuallyOverridden&quot;:false,&quot;citeprocText&quot;:&quot;[21]&quot;,&quot;manualOverrideText&quot;:&quot;&quot;},&quot;citationTag&quot;:&quot;MENDELEY_CITATION_v3_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&quot;,&quot;citationItems&quot;:[{&quot;id&quot;:&quot;9bf5b196-7eb2-3363-b554-4e6070f57bcc&quot;,&quot;itemData&quot;:{&quot;type&quot;:&quot;webpage&quot;,&quot;id&quot;:&quot;9bf5b196-7eb2-3363-b554-4e6070f57bcc&quot;,&quot;title&quot;:&quot;Evaluation of the methods for determination of the free radical scavenger activity by DPPH&quot;,&quot;accessed&quot;:{&quot;date-parts&quot;:[[2026,2,10]]},&quot;URL&quot;:&quot;https://www.researchgate.net/publication/267030935_Evaluation_of_the_methods_for_determination_of_the_free_radical_scavenger_activity_by_DPPH&quot;,&quot;container-title-short&quot;:&quot;&quot;},&quot;isTemporary&quot;:false}]},{&quot;citationID&quot;:&quot;MENDELEY_CITATION_63a1ddc0-da7a-4db1-8891-1424d94b28f5&quot;,&quot;properties&quot;:{&quot;noteIndex&quot;:0},&quot;isEdited&quot;:false,&quot;manualOverride&quot;:{&quot;isManuallyOverridden&quot;:false,&quot;citeprocText&quot;:&quot;[22]&quot;,&quot;manualOverrideText&quot;:&quot;&quot;},&quot;citationTag&quot;:&quot;MENDELEY_CITATION_v3_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&quot;,&quot;citationItems&quot;:[{&quot;id&quot;:&quot;4e50346a-41a9-310f-95aa-e875e7a7be92&quot;,&quot;itemData&quot;:{&quot;type&quot;:&quot;article-journal&quot;,&quot;id&quot;:&quot;4e50346a-41a9-310f-95aa-e875e7a7be92&quot;,&quot;title&quot;:&quot;Determination of Antioxidants by DPPH Radical Scavenging Activity and Quantitative Phytochemical Analysis of Ficus religiosa&quot;,&quot;author&quot;:[{&quot;family&quot;:&quot;Baliyan&quot;,&quot;given&quot;:&quot;Siddartha&quot;,&quot;parse-names&quot;:false,&quot;dropping-particle&quot;:&quot;&quot;,&quot;non-dropping-particle&quot;:&quot;&quot;},{&quot;family&quot;:&quot;Mukherjee&quot;,&quot;given&quot;:&quot;Riya&quot;,&quot;parse-names&quot;:false,&quot;dropping-particle&quot;:&quot;&quot;,&quot;non-dropping-particle&quot;:&quot;&quot;},{&quot;family&quot;:&quot;Priyadarshini&quot;,&quot;given&quot;:&quot;Anjali&quot;,&quot;parse-names&quot;:false,&quot;dropping-particle&quot;:&quot;&quot;,&quot;non-dropping-particle&quot;:&quot;&quot;},{&quot;family&quot;:&quot;Vibhuti&quot;,&quot;given&quot;:&quot;Arpana&quot;,&quot;parse-names&quot;:false,&quot;dropping-particle&quot;:&quot;&quot;,&quot;non-dropping-particle&quot;:&quot;&quot;},{&quot;family&quot;:&quot;Gupta&quot;,&quot;given&quot;:&quot;Archana&quot;,&quot;parse-names&quot;:false,&quot;dropping-particle&quot;:&quot;&quot;,&quot;non-dropping-particle&quot;:&quot;&quot;},{&quot;family&quot;:&quot;Pandey&quot;,&quot;given&quot;:&quot;Ramendra Pati&quot;,&quot;parse-names&quot;:false,&quot;dropping-particle&quot;:&quot;&quot;,&quot;non-dropping-particle&quot;:&quot;&quot;},{&quot;family&quot;:&quot;Chang&quot;,&quot;given&quot;:&quot;Chung Ming&quot;,&quot;parse-names&quot;:false,&quot;dropping-particle&quot;:&quot;&quot;,&quot;non-dropping-particle&quot;:&quot;&quot;}],&quot;container-title&quot;:&quot;Molecules&quot;,&quot;accessed&quot;:{&quot;date-parts&quot;:[[2026,2,10]]},&quot;DOI&quot;:&quot;10.3390/molecules27041326&quot;,&quot;ISSN&quot;:&quot;14203049&quot;,&quot;PMID&quot;:&quot;35209118&quot;,&quot;URL&quot;:&quot;https://pmc.ncbi.nlm.nih.gov/articles/PMC8878429/&quot;,&quot;issued&quot;:{&quot;date-parts&quot;:[[2022,2,1]]},&quot;page&quot;:&quot;1326&quot;,&quot;abstract&quot;:&quot;The use of F. religiosa might be beneficial in inflammatory illnesses and can be used for a variety of health conditions. In this article, we studied the identification of antioxidants using (DPPH) 2,2-Diphenyl-1-picrylhydrazylradical scavenging activity in Ficus religiosa, as F. religiosa is an important herbal plant, and every part of it has various medicinal properties such as antibacterial properties that can be used by the researchers in the development and design of various new drugs. The 2,2-Diphenyl-1-picrylhydrazyl (DPPH) is a popular, quick, easy, and affordable approach for the measurement of antioxidant properties that includes the use of the free radicals used for assessing the potential of substances to serve as hydrogen providers or free-radical scavengers (FRS). The technique of DPPH testing is associated with the elimination of DPPH, which would be a stabilized free radical. The free-radical DPPH interacts with an odd electron to yield a strong absorbance at 517 nm, i.e., a purple hue. An FRS antioxidant, for example, reacts to DPPH to form DPPHH, which has a lower absorbance than DPPH because of the lower amount of hydrogen. It is radical in comparison to the DPPH-H form, because it causes decolorization, or a yellow hue, as the number of electrons absorbed increases. Decolorization affects the lowering capacity significantly. As soon as the DPPH solutions are combined with the hydrogen atom source, the lower state of diphenylpicrylhydrazine is formed, shedding its violet color. To explain the processes behind the DPPH tests, as well as their applicability to Ficus religiosa (F. religiosa) in the manufacture of metal oxide nanoparticles, in particular MgO, and their influence on antioxidants, a specimen from the test was chosen for further study. According to our findings, F. religiosa has antioxidant qualities and may be useful in the treatment of disorders caused by free radicals.&quot;,&quot;publisher&quot;:&quot;MDPI&quot;,&quot;issue&quot;:&quot;4&quot;,&quot;volume&quot;:&quot;27&quot;,&quot;container-title-short&quot;:&quot;&quot;},&quot;isTemporary&quot;:false}]},{&quot;citationID&quot;:&quot;MENDELEY_CITATION_b5a9fe1a-47be-4029-80c2-67d1f7b454b9&quot;,&quot;properties&quot;:{&quot;noteIndex&quot;:0},&quot;isEdited&quot;:false,&quot;manualOverride&quot;:{&quot;isManuallyOverridden&quot;:false,&quot;citeprocText&quot;:&quot;[23]&quot;,&quot;manualOverrideText&quot;:&quot;&quot;},&quot;citationTag&quot;:&quot;MENDELEY_CITATION_v3_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&quot;,&quot;citationItems&quot;:[{&quot;id&quot;:&quot;1e3e73b8-7874-3d6f-a031-bc1a24a36a05&quot;,&quot;itemData&quot;:{&quot;type&quot;:&quot;article-journal&quot;,&quot;id&quot;:&quot;1e3e73b8-7874-3d6f-a031-bc1a24a36a05&quot;,&quot;title&quot;:&quot;Pharmacological evaluation of antidiabetic activity of Urginea indica in laboratory animals&quot;,&quot;author&quot;:[{&quot;family&quot;:&quot;Gupta&quot;,&quot;given&quot;:&quot;Ankit&quot;,&quot;parse-names&quot;:false,&quot;dropping-particle&quot;:&quot;&quot;,&quot;non-dropping-particle&quot;:&quot;&quot;},{&quot;family&quot;:&quot;Singh&quot;,&quot;given&quot;:&quot;Sandeep&quot;,&quot;parse-names&quot;:false,&quot;dropping-particle&quot;:&quot;&quot;,&quot;non-dropping-particle&quot;:&quot;&quot;},{&quot;family&quot;:&quot;Yadav&quot;,&quot;given&quot;:&quot;Ashutosh&quot;,&quot;parse-names&quot;:false,&quot;dropping-particle&quot;:&quot;&quot;,&quot;non-dropping-particle&quot;:&quot;&quot;}],&quot;container-title&quot;:&quot;International Journal of Nutrition, Pharmacology, Neurological Diseases&quot;,&quot;container-title-short&quot;:&quot;Int. J. Nutr. Pharmacol. Neurol. Dis.&quot;,&quot;accessed&quot;:{&quot;date-parts&quot;:[[2026,2,10]]},&quot;DOI&quot;:&quot;10.4103/2231-0738.153795&quot;,&quot;ISSN&quot;:&quot;22312722&quot;,&quot;URL&quot;:&quot;https://journals.lww.com/ijnp/fulltext/2015/05020/pharmacological_evaluation_of_antidiabetic.5.aspx&quot;,&quot;issued&quot;:{&quot;date-parts&quot;:[[2015,4,1]]},&quot;page&quot;:&quot;63-68&quot;,&quot;abstract&quot;:&quot;Objective: The present study was designed to investigate the antidiabetic potential of the bulbs of Urginea indica (Roxb.) Kunth. (U. indica), which has been utilized traditionally to cure diabetes mellitus. Materials and Methods: An acute toxicity study was done to check the toxicity of U. indica ethanolic extract (UIEE) and an oral glucose tolerance test (OGTT) was carried out in a study population of normoglycemic rats. Diabetes was induced by single intraperitoneal injection of streptozotocin (STZ, 40 mg/kg body weight). Animals were orally treated with the extracts and standard drug (glibenclamide 10 mg/kg), and vehicle daily for 14 days. Hypoglycemic effects, change in body weight, lipid profile, and feed and water intake of the diabetic rats were assessed for normal, diabetic control, standard, and extract-treated groups. Histopathology was also carried out for the pancreatic tissue. Results: The acute toxicity study revealed the nontoxic nature of U. indica ethanolic extract. A considerable decrease in blood glucose was observed within 120 min on glucose tolerance testing among normoglycemic rats treated with a high dose of extract UIEE (1.5 g/kg). Daily oral treatment with the extract and the standard drug for 14 days significantly reduced blood glucose, total cholesterol (TC), and triglyceride (TG) levels. High-density lipoprotein (HDL) levels were found to be improved compared to the diabetic control group. The feed and water intake in diabetic rats was markedly reduced and weight loss was minimized. Histopathological analysis confirmed the biochemical findings. Conclusion: The results of the experiments suggest that UIEE has significant antidiabetic effects on STZ-induced diabetic rats.&quot;,&quot;publisher&quot;:&quot;Medknow Publications&quot;,&quot;issue&quot;:&quot;2&quot;,&quot;volume&quot;:&quot;5&quot;},&quot;isTemporary&quot;:false}]},{&quot;citationID&quot;:&quot;MENDELEY_CITATION_dc9ac321-0672-441b-a8fd-d1451fe7f5e7&quot;,&quot;properties&quot;:{&quot;noteIndex&quot;:0},&quot;isEdited&quot;:false,&quot;manualOverride&quot;:{&quot;isManuallyOverridden&quot;:false,&quot;citeprocText&quot;:&quot;[24]&quot;,&quot;manualOverrideText&quot;:&quot;&quot;},&quot;citationTag&quot;:&quot;MENDELEY_CITATION_v3_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&quot;,&quot;citationItems&quot;:[{&quot;id&quot;:&quot;2ea5c33d-c96e-3534-aa87-cc3603b2d7d6&quot;,&quot;itemData&quot;:{&quot;type&quot;:&quot;webpage&quot;,&quot;id&quot;:&quot;2ea5c33d-c96e-3534-aa87-cc3603b2d7d6&quot;,&quot;title&quot;:&quot;(PDF) Induction of diabetes by streptozotocin in rats&quot;,&quot;accessed&quot;:{&quot;date-parts&quot;:[[2026,2,10]]},&quot;URL&quot;:&quot;https://www.researchgate.net/publication/276923436_Induction_of_diabetes_by_streptozotocin_in_rats&quot;,&quot;container-title-short&quot;:&quot;&quot;},&quot;isTemporary&quot;:false}]},{&quot;citationID&quot;:&quot;MENDELEY_CITATION_397450c2-9fcf-42d9-825a-4ac29ed3b4d0&quot;,&quot;properties&quot;:{&quot;noteIndex&quot;:0},&quot;isEdited&quot;:false,&quot;manualOverride&quot;:{&quot;isManuallyOverridden&quot;:false,&quot;citeprocText&quot;:&quot;[25]&quot;,&quot;manualOverrideText&quot;:&quot;&quot;},&quot;citationTag&quot;:&quot;MENDELEY_CITATION_v3_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&quot;,&quot;citationItems&quot;:[{&quot;id&quot;:&quot;f98ad854-539b-3394-b8b4-82edb958330e&quot;,&quot;itemData&quot;:{&quot;type&quot;:&quot;article-journal&quot;,&quot;id&quot;:&quot;f98ad854-539b-3394-b8b4-82edb958330e&quot;,&quot;title&quot;:&quot;Treatment-induced neuropathy of diabetes overlapping with chronic inflammatory demyelinating polyradiculoneuropathy after rapid glycemic correction: a case report&quot;,&quot;author&quot;:[{&quot;family&quot;:&quot;Hu&quot;,&quot;given&quot;:&quot;Yonglu&quot;,&quot;parse-names&quot;:false,&quot;dropping-particle&quot;:&quot;&quot;,&quot;non-dropping-particle&quot;:&quot;&quot;},{&quot;family&quot;:&quot;Dong&quot;,&quot;given&quot;:&quot;Bingzi&quot;,&quot;parse-names&quot;:false,&quot;dropping-particle&quot;:&quot;&quot;,&quot;non-dropping-particle&quot;:&quot;&quot;},{&quot;family&quot;:&quot;Liu&quot;,&quot;given&quot;:&quot;Lijun&quot;,&quot;parse-names&quot;:false,&quot;dropping-particle&quot;:&quot;&quot;,&quot;non-dropping-particle&quot;:&quot;&quot;},{&quot;family&quot;:&quot;Deng&quot;,&quot;given&quot;:&quot;Yujie&quot;,&quot;parse-names&quot;:false,&quot;dropping-particle&quot;:&quot;&quot;,&quot;non-dropping-particle&quot;:&quot;&quot;},{&quot;family&quot;:&quot;Han&quot;,&quot;given&quot;:&quot;Runhong&quot;,&quot;parse-names&quot;:false,&quot;dropping-particle&quot;:&quot;&quot;,&quot;non-dropping-particle&quot;:&quot;&quot;},{&quot;family&quot;:&quot;Li&quot;,&quot;given&quot;:&quot;Chengqian&quot;,&quot;parse-names&quot;:false,&quot;dropping-particle&quot;:&quot;&quot;,&quot;non-dropping-particle&quot;:&quot;&quot;}],&quot;container-title&quot;:&quot;Frontiers in Endocrinology&quot;,&quot;container-title-short&quot;:&quot;Front. Endocrinol. (Lausanne).&quot;,&quot;accessed&quot;:{&quot;date-parts&quot;:[[2026,2,10]]},&quot;DOI&quot;:&quot;10.3389/fendo.2025.1654872&quot;,&quot;ISSN&quot;:&quot;16642392&quot;,&quot;PMID&quot;:&quot;41347129&quot;,&quot;URL&quot;:&quot;https://pmc.ncbi.nlm.nih.gov/articles/PMC12672216/&quot;,&quot;issued&quot;:{&quot;date-parts&quot;:[[2025]]},&quot;page&quot;:&quot;1654872&quot;,&quot;abstract&quot;:&quot;Treatment-induced neuropathy of diabetes (TIND) often presents with acute-onset neurological symptoms and is frequently underdiagnosed in clinical practice, typically occurring after rapid correction of hyperglycemia. Its coexistence with chronic inflammatory demyelinating polyradiculoneuropathy (CIDP) has rarely been reported. As both conditions involve peripheral neuropathy and inflammation, they may share common underlying mechanisms. We report the case of a 26-year-old male patient with type 1 diabetes mellitus (T1DM) who developed TIND followed by CIDP. The patient received insulin pump therapy for glycemic control, along with oral analgesics, including gabapentin and carbamazepine. Targeted treatment for CIDP with methylprednisolone was initiated, leading to improvement in neurological symptoms. Due to persistent severe perineal pain, the patient also underwent interventional pain procedures, including perineal nerve pulsed radiofrequency therapy. Additionally, we review the literature on the pathophysiological mechanisms of TIND and discuss its potential relationship with CIDP, aiming to provide clinical insights that may assist in early recognition and diagnosis. To date, cases of coexisting TIND and CIDP in a single patient have rarely been reported in the literature.&quot;,&quot;publisher&quot;:&quot;Frontiers Media SA&quot;,&quot;volume&quot;:&quot;16&quot;},&quot;isTemporary&quot;:false}]},{&quot;citationID&quot;:&quot;MENDELEY_CITATION_2b983f89-4bba-49be-b428-9a9c1d522d02&quot;,&quot;properties&quot;:{&quot;noteIndex&quot;:0},&quot;isEdited&quot;:false,&quot;manualOverride&quot;:{&quot;isManuallyOverridden&quot;:false,&quot;citeprocText&quot;:&quot;[26]&quot;,&quot;manualOverrideText&quot;:&quot;&quot;},&quot;citationTag&quot;:&quot;MENDELEY_CITATION_v3_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&quot;,&quot;citationItems&quot;:[{&quot;id&quot;:&quot;f970e560-3b72-3950-a290-04d34cfa8795&quot;,&quot;itemData&quot;:{&quot;type&quot;:&quot;article-journal&quot;,&quot;id&quot;:&quot;f970e560-3b72-3950-a290-04d34cfa8795&quot;,&quot;title&quot;:&quot;Enhancement of oral bioavailability of quercetin by metabolic inhibitory nanosuspensions compared to conventional nanosuspensions&quot;,&quot;author&quot;:[{&quot;family&quot;:&quot;Li&quot;,&quot;given&quot;:&quot;Haowen&quot;,&quot;parse-names&quot;:false,&quot;dropping-particle&quot;:&quot;&quot;,&quot;non-dropping-particle&quot;:&quot;&quot;},{&quot;family&quot;:&quot;Li&quot;,&quot;given&quot;:&quot;Manzhen&quot;,&quot;parse-names&quot;:false,&quot;dropping-particle&quot;:&quot;&quot;,&quot;non-dropping-particle&quot;:&quot;&quot;},{&quot;family&quot;:&quot;Fu&quot;,&quot;given&quot;:&quot;Jingxin&quot;,&quot;parse-names&quot;:false,&quot;dropping-particle&quot;:&quot;&quot;,&quot;non-dropping-particle&quot;:&quot;&quot;},{&quot;family&quot;:&quot;Ao&quot;,&quot;given&quot;:&quot;Hui&quot;,&quot;parse-names&quot;:false,&quot;dropping-particle&quot;:&quot;&quot;,&quot;non-dropping-particle&quot;:&quot;&quot;},{&quot;family&quot;:&quot;Wang&quot;,&quot;given&quot;:&quot;Weihua&quot;,&quot;parse-names&quot;:false,&quot;dropping-particle&quot;:&quot;&quot;,&quot;non-dropping-particle&quot;:&quot;&quot;},{&quot;family&quot;:&quot;Wang&quot;,&quot;given&quot;:&quot;Xiangtao&quot;,&quot;parse-names&quot;:false,&quot;dropping-particle&quot;:&quot;&quot;,&quot;non-dropping-particle&quot;:&quot;&quot;}],&quot;container-title&quot;:&quot;Drug Delivery&quot;,&quot;container-title-short&quot;:&quot;Drug Deliv.&quot;,&quot;accessed&quot;:{&quot;date-parts&quot;:[[2026,2,10]]},&quot;DOI&quot;:&quot;10.1080/10717544.2021.1927244&quot;,&quot;ISSN&quot;:&quot;15210464&quot;,&quot;PMID&quot;:&quot;34142631&quot;,&quot;URL&quot;:&quot;https://pmc.ncbi.nlm.nih.gov/articles/PMC8218931/&quot;,&quot;issued&quot;:{&quot;date-parts&quot;:[[2021]]},&quot;page&quot;:&quot;1226&quot;,&quot;abstract&quot;:&quot;Quercetin-loaded nanosuspensions (Que-NSps) added metabolic inhibitors were evaluated as drug delivery system to promote the oral bioavailability of quercetin. Que-NSps were prepared respectively using d-alpha tocopherol acid polyethylene glycol succinate (TPGS) or Soybean Lecithin (SPC) as stabilizer. On the basis, Piperine (Pip) or sodium oleate (SO) was, respectively, encapsulated in Que-NSps as phase II metabolic inhibitors. The resulting Que-NSps all displayed a mean particle size of about 200 nm and drug loading content was in the range of 22.3–27.8%. The release of quercetin from Que-NSps was slow and sustained. After oral administration of 50 mg/kg different Que-NSps, the levels of free quercetin in plasma were significantly promoted, the concentration of quercetin metabolites (isorhamnetin and quercetin 3-O-β-d-Glucuronide) were decreased. The absolute bioavailability was, respectively 15.55%, 6.93%, 12.38%, and 23.58% for TPGS-Que-NSps, TPGS-SO-Que-NSps, SPC-Que-NSps, and SPC-Pip-Que-NSps, and 3.61% for quercetin water suspension. SPC-Pip-Que-NSps turned out to an ideal nanocarrier combined nano drug delivery system together with metabolic inhibitor to promote oral absorption of quercetin.&quot;,&quot;publisher&quot;:&quot;Taylor and Francis Ltd.&quot;,&quot;issue&quot;:&quot;1&quot;,&quot;volume&quot;:&quot;28&quot;},&quot;isTemporary&quot;:false}]},{&quot;citationID&quot;:&quot;MENDELEY_CITATION_a1fc9b70-199a-4705-808a-476f0f773630&quot;,&quot;properties&quot;:{&quot;noteIndex&quot;:0},&quot;isEdited&quot;:false,&quot;manualOverride&quot;:{&quot;isManuallyOverridden&quot;:false,&quot;citeprocText&quot;:&quot;[27]&quot;,&quot;manualOverrideText&quot;:&quot;&quot;},&quot;citationTag&quot;:&quot;MENDELEY_CITATION_v3_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&quot;,&quot;citationItems&quot;:[{&quot;id&quot;:&quot;abcb258e-395d-3cfd-a4ac-a15249ae3730&quot;,&quot;itemData&quot;:{&quot;type&quot;:&quot;article-journal&quot;,&quot;id&quot;:&quot;abcb258e-395d-3cfd-a4ac-a15249ae3730&quot;,&quot;title&quot;:&quot;Effects of Citrullus colocynthis L. in a rat model of diabetic neuropathy&quot;,&quot;author&quot;:[{&quot;family&quot;:&quot;Ostovar&quot;,&quot;given&quot;:&quot;Mohadeseh&quot;,&quot;parse-names&quot;:false,&quot;dropping-particle&quot;:&quot;&quot;,&quot;non-dropping-particle&quot;:&quot;&quot;},{&quot;family&quot;:&quot;Akbari&quot;,&quot;given&quot;:&quot;Abolfazl&quot;,&quot;parse-names&quot;:false,&quot;dropping-particle&quot;:&quot;&quot;,&quot;non-dropping-particle&quot;:&quot;&quot;},{&quot;family&quot;:&quot;Anbardar&quot;,&quot;given&quot;:&quot;Mohammad Hossein&quot;,&quot;parse-names&quot;:false,&quot;dropping-particle&quot;:&quot;&quot;,&quot;non-dropping-particle&quot;:&quot;&quot;},{&quot;family&quot;:&quot;Iraji&quot;,&quot;given&quot;:&quot;Aida&quot;,&quot;parse-names&quot;:false,&quot;dropping-particle&quot;:&quot;&quot;,&quot;non-dropping-particle&quot;:&quot;&quot;},{&quot;family&quot;:&quot;Salmanpour&quot;,&quot;given&quot;:&quot;Mohsen&quot;,&quot;parse-names&quot;:false,&quot;dropping-particle&quot;:&quot;&quot;,&quot;non-dropping-particle&quot;:&quot;&quot;},{&quot;family&quot;:&quot;Hafez Ghoran&quot;,&quot;given&quot;:&quot;Salar&quot;,&quot;parse-names&quot;:false,&quot;dropping-particle&quot;:&quot;&quot;,&quot;non-dropping-particle&quot;:&quot;&quot;},{&quot;family&quot;:&quot;Heydari&quot;,&quot;given&quot;:&quot;Mojtaba&quot;,&quot;parse-names&quot;:false,&quot;dropping-particle&quot;:&quot;&quot;,&quot;non-dropping-particle&quot;:&quot;&quot;},{&quot;family&quot;:&quot;Shams&quot;,&quot;given&quot;:&quot;Mesbah&quot;,&quot;parse-names&quot;:false,&quot;dropping-particle&quot;:&quot;&quot;,&quot;non-dropping-particle&quot;:&quot;&quot;}],&quot;container-title&quot;:&quot;Journal of Integrative Medicine&quot;,&quot;accessed&quot;:{&quot;date-parts&quot;:[[2026,2,10]]},&quot;DOI&quot;:&quot;10.1016/j.joim.2019.12.002&quot;,&quot;ISSN&quot;:&quot;20954964&quot;,&quot;PMID&quot;:&quot;31874814&quot;,&quot;URL&quot;:&quot;https://www.researchgate.net/publication/337786851_Effects_of_Citrullus_colocynthis_L_in_a_rat_model_of_diabetic_neuropathy&quot;,&quot;issued&quot;:{&quot;date-parts&quot;:[[2020,1,1]]},&quot;page&quot;:&quot;59-67&quot;,&quot;abstract&quot;:&quot;Objective: This study investigated the biochemical, histopathological and physiological effects of Citrullus colocynthis on peripheral neuropathy in rats with streptozotocin (STZ)-induced diabetes. Methods: Seventy adult male Sprague-Dawley rats were included in the present study. Diabetes was induced in 60 rats, with a single intraperitoneal injection of STZ (65 mg/kg). After 4 weeks, the diabetic rats were assessed for neuropathy. Then, the diabetic rats with neuropathy were randomly divided into 6 groups for a 4-week treatment with gabapentin, oral administration of C. colocynthis fruit pulp powder (100 and 300 mg/kg per day), topical preparations as oil-based solution and ointment, or placebo. Changes in metabolic, physiological, biochemical and histological parameters were considered as treatment outcomes. Results: Metabolic outcomes (body weight and blood glucose level) were improved in the C. colocynthis-treated groups as compared to placebo. Tail-flick and hot-plate tests also had lower latency in the C. colocynthis-treated groups. Measurement of oxidative stress markers (malondialdehyde, superoxide dismutase and catalase) showed the antioxidant effect of C. colocynthis. Histological evaluation of the sciatic nerve showed that C. colocynthis decreased the number of demyelinated and degenerated nerve fibers. Among the C. colocynthis-treated groups, the one receiving 100 mg/kg power per day orally had the best treatment outcomes. Conclusion: The present study showed that C. colocynthis fruit, through its antioxidant and hypoglycemic activities, has a positive effect in the treatment of diabetic neuropathy.&quot;,&quot;publisher&quot;:&quot;Elsevier (Singapore) Pte Ltd&quot;,&quot;issue&quot;:&quot;1&quot;,&quot;volume&quot;:&quot;18&quot;,&quot;container-title-short&quot;:&quot;J. Integr. Med.&quot;},&quot;isTemporary&quot;:false}]},{&quot;citationID&quot;:&quot;MENDELEY_CITATION_081a7076-07bf-4965-bb98-45cd6ea46f34&quot;,&quot;properties&quot;:{&quot;noteIndex&quot;:0},&quot;isEdited&quot;:false,&quot;manualOverride&quot;:{&quot;isManuallyOverridden&quot;:false,&quot;citeprocText&quot;:&quot;[28]&quot;,&quot;manualOverrideText&quot;:&quot;&quot;},&quot;citationTag&quot;:&quot;MENDELEY_CITATION_v3_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&quot;,&quot;citationItems&quot;:[{&quot;id&quot;:&quot;a951704b-c3bb-37f6-b8f8-00e4268f9bf0&quot;,&quot;itemData&quot;:{&quot;type&quot;:&quot;article-journal&quot;,&quot;id&quot;:&quot;a951704b-c3bb-37f6-b8f8-00e4268f9bf0&quot;,&quot;title&quot;:&quot;Rapid Determination of the Thermal Nociceptive Threshold in Diabetic Rats&quot;,&quot;author&quot;:[{&quot;family&quot;:&quot;Alshahrani&quot;,&quot;given&quot;:&quot;Saeed&quot;,&quot;parse-names&quot;:false,&quot;dropping-particle&quot;:&quot;&quot;,&quot;non-dropping-particle&quot;:&quot;&quot;},{&quot;family&quot;:&quot;Fernandez-Conti&quot;,&quot;given&quot;:&quot;Filipe&quot;,&quot;parse-names&quot;:false,&quot;dropping-particle&quot;:&quot;&quot;,&quot;non-dropping-particle&quot;:&quot;&quot;},{&quot;family&quot;:&quot;Araujo&quot;,&quot;given&quot;:&quot;Amanda&quot;,&quot;parse-names&quot;:false,&quot;dropping-particle&quot;:&quot;&quot;,&quot;non-dropping-particle&quot;:&quot;&quot;},{&quot;family&quot;:&quot;Fulvio&quot;,&quot;given&quot;:&quot;Mauricio&quot;,&quot;parse-names&quot;:false,&quot;dropping-particle&quot;:&quot;&quot;,&quot;non-dropping-particle&quot;:&quot;di&quot;}],&quot;container-title&quot;:&quot;Journal of Visualized Experiments : JoVE&quot;,&quot;accessed&quot;:{&quot;date-parts&quot;:[[2026,2,10]]},&quot;DOI&quot;:&quot;10.3791/3785&quot;,&quot;ISSN&quot;:&quot;1940087X&quot;,&quot;PMID&quot;:&quot;22643870&quot;,&quot;URL&quot;:&quot;https://pmc.ncbi.nlm.nih.gov/articles/PMC3466937/&quot;,&quot;issued&quot;:{&quot;date-parts&quot;:[[2012,5,17]]},&quot;page&quot;:&quot;3785&quot;,&quot;abstract&quot;:&quot;Painful diabetic neuropathy (PDN) is characterized by hyperalgesia i.e., increased sensitivity to noxious stimulus, and allodynia i.e., hypersensitivity to normally innocuous stimuli 1. Hyper algesia and allodynia have been studied in many different rodent models of diabetes mellitus 2. However, as stated by Bölcskei et al, determination of \&quot;pain\&quot; in animal models is challenging due to its subjective nature 3. Moreover, the traditional methods used to determine behavioral responses to noxious thermal stimuli usually lack reproducibility and pharmacological sensitivity 3. For instance, by using the hot-plate method of Ankier 4, flinch, withdrawal and/or licking of either hind- and/or fore-paws is quantified as reflex latencies at constant high thermal stimuli (52-55 °C). However, animals that are hyper algesic to thermal stimulus do not reproducibly show differences in reflex latencies using those supra-threshold temperatures 3,5. As the recently described method of Bölcskei et al. 6, the procedures described here allows for the rapid, sensitive and reproducible determination of thermal nociceptive thresholds (TNTs) in mice and rats. The method uses slowly increasing thermal stimulus applied mostly to the skin of mouse/rat plantar surface. The method is particularly sensitive to study anti-nociception during hyperalgesic states such as PDN. The procedures described bellow are based on the ones published in detail by Almási et al 5 and Bölcskei et al 3. The procedures described here have been approved the Laboratory Animal Care and Use Committee (LACUC), Wright State University. © 2012 Journal of Visualized Experiments.&quot;,&quot;issue&quot;:&quot;63&quot;,&quot;container-title-short&quot;:&quot;J. Vis. Exp.&quot;},&quot;isTemporary&quot;:false}]},{&quot;citationID&quot;:&quot;MENDELEY_CITATION_400a50fd-bafc-4f1b-a586-ec01188195db&quot;,&quot;properties&quot;:{&quot;noteIndex&quot;:0},&quot;isEdited&quot;:false,&quot;manualOverride&quot;:{&quot;isManuallyOverridden&quot;:false,&quot;citeprocText&quot;:&quot;[29]&quot;,&quot;manualOverrideText&quot;:&quot;&quot;},&quot;citationTag&quot;:&quot;MENDELEY_CITATION_v3_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&quot;,&quot;citationItems&quot;:[{&quot;id&quot;:&quot;2f47934f-68a3-3525-8c19-3453c04840c3&quot;,&quot;itemData&quot;:{&quot;type&quot;:&quot;article-journal&quot;,&quot;id&quot;:&quot;2f47934f-68a3-3525-8c19-3453c04840c3&quot;,&quot;title&quot;:&quot;Mechanical Allodynia Assessment in a Murine Neuropathic Pain Model&quot;,&quot;author&quot;:[{&quot;family&quot;:&quot;Notartomaso&quot;,&quot;given&quot;:&quot;Serena&quot;,&quot;parse-names&quot;:false,&quot;dropping-particle&quot;:&quot;&quot;,&quot;non-dropping-particle&quot;:&quot;&quot;},{&quot;family&quot;:&quot;Scarselli&quot;,&quot;given&quot;:&quot;Pamela&quot;,&quot;parse-names&quot;:false,&quot;dropping-particle&quot;:&quot;&quot;,&quot;non-dropping-particle&quot;:&quot;&quot;},{&quot;family&quot;:&quot;Pietro&quot;,&quot;given&quot;:&quot;Paola&quot;,&quot;parse-names&quot;:false,&quot;dropping-particle&quot;:&quot;Di&quot;,&quot;non-dropping-particle&quot;:&quot;&quot;},{&quot;family&quot;:&quot;Battaglia&quot;,&quot;given&quot;:&quot;Giuseppe&quot;,&quot;parse-names&quot;:false,&quot;dropping-particle&quot;:&quot;&quot;,&quot;non-dropping-particle&quot;:&quot;&quot;},{&quot;family&quot;:&quot;Llebaria&quot;,&quot;given&quot;:&quot;Amadeu&quot;,&quot;parse-names&quot;:false,&quot;dropping-particle&quot;:&quot;&quot;,&quot;non-dropping-particle&quot;:&quot;&quot;},{&quot;family&quot;:&quot;Ciruela&quot;,&quot;given&quot;:&quot;Francisco&quot;,&quot;parse-names&quot;:false,&quot;dropping-particle&quot;:&quot;&quot;,&quot;non-dropping-particle&quot;:&quot;&quot;},{&quot;family&quot;:&quot;Nicoletti&quot;,&quot;given&quot;:&quot;Ferdinando&quot;,&quot;parse-names&quot;:false,&quot;dropping-particle&quot;:&quot;&quot;,&quot;non-dropping-particle&quot;:&quot;&quot;}],&quot;container-title&quot;:&quot;Bio-protocol&quot;,&quot;accessed&quot;:{&quot;date-parts&quot;:[[2026,2,10]]},&quot;DOI&quot;:&quot;10.21769/bioprotoc.2671&quot;,&quot;ISSN&quot;:&quot;2331-8325&quot;,&quot;PMID&quot;:&quot;34179237&quot;,&quot;URL&quot;:&quot;https://pmc.ncbi.nlm.nih.gov/articles/PMC8203948/&quot;,&quot;issued&quot;:{&quot;date-parts&quot;:[[2018]]},&quot;page&quot;:&quot;e2671&quot;,&quot;abstract&quot;:&quot;[Abstract] Experimental animal models are unique tools (i) to study pain transmission and pathophysiology of neuropathic pain, (ii) to identify novel molecular targets and (iii) to test the potential analgesic effect of specific molecules. The chronic constriction injury (CCI) model of neuropathic pain is the first model of post-traumatic painful peripheral neuropathy, originally developed by Bennett and Xie in the late 1980s. The chronic constriction is performed in the sciatic nerve and induces a partial denervation involving myelinated afferent axons and unmyelinated axons. Damage to unmyelinated axons is much more severe than myelinated afferents. As the model induces a partial denervation, it is very useful for the analysis of pain behaviours. Stimulation of the hind paw, a target of the sciatic nerve, induces pain which can be quantitated. Thus, mechanical allodynia is usually assessed 7, 14 and 21 days after CCI of the sciatic nerve by measuring the hind paw withdrawal response to von Frey filament stimulation. Here, we describe in detail the protocol allowing a reliable and reproducible CCI model in mice. Overall, researchers most commonly use this surgical model to discover more efficacious drugs for the pharmacological control of chronic pain states. [Background] The chronic constriction injury (CCI) model of neuropathic pain was first developed by Bennett and Xie (1988). The chronic constriction is applied to the sciatic nerve mimicking a post-traumatic painful peripheral neuropathy. This model induces a partial denervation and, therefore, is very useful for a quantitative analysis of pain behaviours and for the evaluation of analgesic effect of novel drugs. The CCI of the sciatic nerve is carried out under isoflurane anesthesia (5% for induction and 2% for maintenance). The biceps femoris and the gluteus superficialis are separated by dissection to expose the sciatic nerve. The CCI is induced by loosely tying one ligature around the sciatic nerve, to preserve epineural circulation. Analysis of pain behaviour is assessed by measuring mechanical allodynia 7, 14 and 21 days after surgery. Interestingly, one of the advantages of the CCI model is the objective score of pain behaviour in response to von Frey stimulation. Mechanical allodynia is quantitated by measuring the hind paw&quot;,&quot;publisher&quot;:&quot;Bio-Protocol, LLC&quot;,&quot;issue&quot;:&quot;2&quot;,&quot;volume&quot;:&quot;8&quot;,&quot;container-title-short&quot;:&quot;Bio. Protoc.&quot;},&quot;isTemporary&quot;:false}]},{&quot;citationID&quot;:&quot;MENDELEY_CITATION_12057de2-583f-412e-be99-96177ab298d4&quot;,&quot;properties&quot;:{&quot;noteIndex&quot;:0},&quot;isEdited&quot;:false,&quot;manualOverride&quot;:{&quot;isManuallyOverridden&quot;:false,&quot;citeprocText&quot;:&quot;[30]&quot;,&quot;manualOverrideText&quot;:&quot;&quot;},&quot;citationTag&quot;:&quot;MENDELEY_CITATION_v3_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&quot;,&quot;citationItems&quot;:[{&quot;id&quot;:&quot;7ab382c5-2aa8-3c6a-8a43-bea2756e1b32&quot;,&quot;itemData&quot;:{&quot;type&quot;:&quot;article-journal&quot;,&quot;id&quot;:&quot;7ab382c5-2aa8-3c6a-8a43-bea2756e1b32&quot;,&quot;title&quot;:&quot;Ceftriaxone, a Beta-Lactam Antibiotic, Modulates Apoptosis Pathways and Oxidative Stress in a Rat Model of Neuropathic Pain&quot;,&quot;author&quot;:[{&quot;family&quot;:&quot;Amin&quot;,&quot;given&quot;:&quot;Bahareh&quot;,&quot;parse-names&quot;:false,&quot;dropping-particle&quot;:&quot;&quot;,&quot;non-dropping-particle&quot;:&quot;&quot;},{&quot;family&quot;:&quot;Hajhashemi&quot;,&quot;given&quot;:&quot;Valiollah&quot;,&quot;parse-names&quot;:false,&quot;dropping-particle&quot;:&quot;&quot;,&quot;non-dropping-particle&quot;:&quot;&quot;},{&quot;family&quot;:&quot;Abnous&quot;,&quot;given&quot;:&quot;Khalil&quot;,&quot;parse-names&quot;:false,&quot;dropping-particle&quot;:&quot;&quot;,&quot;non-dropping-particle&quot;:&quot;&quot;},{&quot;family&quot;:&quot;Hosseinzadeh&quot;,&quot;given&quot;:&quot;Hossein&quot;,&quot;parse-names&quot;:false,&quot;dropping-particle&quot;:&quot;&quot;,&quot;non-dropping-particle&quot;:&quot;&quot;}],&quot;container-title&quot;:&quot;BioMed Research International&quot;,&quot;accessed&quot;:{&quot;date-parts&quot;:[[2026,2,10]]},&quot;DOI&quot;:&quot;10.1155/2014/937568&quot;,&quot;ISSN&quot;:&quot;23146141&quot;,&quot;PMID&quot;:&quot;25028668&quot;,&quot;URL&quot;:&quot;/doi/pdf/10.1155/2014/937568&quot;,&quot;issued&quot;:{&quot;date-parts&quot;:[[2014,1,1]]},&quot;page&quot;:&quot;937568&quot;,&quot;abstract&quot;:&quot;Purpose. In our previous study, ceftriaxone, a beta-lactam antibiotic, elicited antinociceptive effects in the chronic constriction injury (CCI) of neuropathic pain. In this study, we assessed apoptosis and oxidative stress in the spinal cord of neuropathic rats treated with ceftriaxone. Methods. 45 male Wistar rats were divided as naïve, sham, normal saline-treated CCI rats, and CCI animals treated with the effective dose of ceftriaxone. Involvement of Bax, Bcl2, and caspases 3 and 9, important contributors of programmed cell death (apoptosis), was determined using western blotting at days 3 and 7. The markers of oxidative stress including malondialdehyde (MDA) and reduced glutathione (GSH) were measured on days 3 and 7. Results. Increased Bax/Bcl2 ratio and cleaved active forms of caspases 3 and 9 were observed in the spinal cord of CCI rats on day 3. Ceftriaxone attenuated the increased levels of Bax and cleaved forms of caspases 3 and 9, while it increased Bcl2 levels. Bax and active forms of caspases declined by day 7. Consequently, comparison among groups showed no difference at this time. CCI enhanced MDA and decreased GSH on days 3 and 7, while ceftriaxone protected against the CCI-induced oxidative stress. Conclusion. Our results suggest that ceftriaxone, an upregulator/activator of GLT1, could concomitantly reduce oxidative stress and apoptosis and producing its new analogs lacking antimicrobial activity may represent a novel approach for neuropathic pain treatment. © 2014 Bahareh Amin et al.&quot;,&quot;publisher&quot;:&quot;John Wiley &amp; Sons, Ltd&quot;,&quot;issue&quot;:&quot;1&quot;,&quot;volume&quot;:&quot;2014&quot;,&quot;container-title-short&quot;:&quot;Biomed Res. Int.&quot;},&quot;isTemporary&quot;:false}]},{&quot;citationID&quot;:&quot;MENDELEY_CITATION_55e4ff88-dff8-4526-87cb-9ff964bc6dcc&quot;,&quot;properties&quot;:{&quot;noteIndex&quot;:0},&quot;isEdited&quot;:false,&quot;manualOverride&quot;:{&quot;isManuallyOverridden&quot;:false,&quot;citeprocText&quot;:&quot;[31]&quot;,&quot;manualOverrideText&quot;:&quot;&quot;},&quot;citationTag&quot;:&quot;MENDELEY_CITATION_v3_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&quot;,&quot;citationItems&quot;:[{&quot;id&quot;:&quot;1c53c2c8-fd9e-32e9-9cbf-1f0119e5d750&quot;,&quot;itemData&quot;:{&quot;type&quot;:&quot;article-journal&quot;,&quot;id&quot;:&quot;1c53c2c8-fd9e-32e9-9cbf-1f0119e5d750&quot;,&quot;title&quot;:&quot;Malondialdehyde and thiobarbituric acid-reactivity as diagnostic indices of lipid peroxidation and peroxidative tissue injury&quot;,&quot;author&quot;:[{&quot;family&quot;:&quot;Janero&quot;,&quot;given&quot;:&quot;David R.&quot;,&quot;parse-names&quot;:false,&quot;dropping-particle&quot;:&quot;&quot;,&quot;non-dropping-particle&quot;:&quot;&quot;}],&quot;container-title&quot;:&quot;Free radical biology &amp; medicine&quot;,&quot;accessed&quot;:{&quot;date-parts&quot;:[[2026,2,10]]},&quot;DOI&quot;:&quot;10.1016/0891-5849(90)90131-2&quot;,&quot;ISSN&quot;:&quot;08915849&quot;,&quot;PMID&quot;:&quot;2079232&quot;,&quot;URL&quot;:&quot;https://pubmed.ncbi.nlm.nih.gov/2079232/&quot;,&quot;issued&quot;:{&quot;date-parts&quot;:[[1990]]},&quot;page&quot;:&quot;515-540&quot;,&quot;abstract&quot;:&quot;Increasing appreciation of the causative role of oxidative injury in many disease states places great importance on the reliable assessment of lipid peroxidation. Malondialdehyde (MDA) is one of several low-molecular-weight end products formed via the decomposition of certain primary and secondary lipid peroxidation products. At low pH and elavated temperature, MDA readily participates in nucleophilic addition reaction with 2-thiobarbituric acid (TBA), generating a red, fluorescent 1:2 MDA:TBA adduct. These facts, along with the availability of facile and sensitive methods to quantify MDA (as the free aldehyde or its TBA derivative), have led to the routine use of MDA determination and, particularly, the \&quot;TBA test\&quot; to detect and quantify lipid peroxidation in a wide array of sample types. However, MDA itself participates in reactions with molecules other than TBA and is a catabolic substrate. Only certain lipid peroxidation products generate MDA (invariably with low yields), and MDA is neither the sole end product of fatty peroxide formation and decomposition nor a substance generated exclusively through lipid peroxidation. Many factors (e.g., stimulus for and conditions of peroxidation) modulate MDA formation from lipid. Additional factors (e.g., TBA-test reagents and constituents) have profound effects on test response to fatty peroxide-derived MDA. The TBA test is intrinsically nonspecific for MDA: nonlipid-related materials as well as fatty peroxide-derived decomposition products other than MDA are TBA positive. These and other considerations from the extensive literature on MDA, TBA reactivity, and oxidative lipid degradation support the conclusion that MDA determination and the TBA test can offer, at best, a narrow and somewhat empirical window on the complex process of lipid peroxidation. The MDA content and/or TBA reactivity of a system provides no information on the precise structures of the \&quot;MDA precursor(s),\&quot; their molecular origins, or the amount of each formed. Consequently, neither MDA determination nor TBA-test response can generally be regarded as a diagnostic index of the occurrence/extent of lipid peroxidation, fatty hydroperoxide formation, or oxidative injury to tissue lipid without independent chemical evidence of the analyte being measured and its source. In some cases, MDA/TBA reactivity is an indicator of lipid peroxidation; in other situations, no qualitative or quantitative relationship exists among sample MDA content, TBA reactivity, and fatty peroxide tone. Utilization of MDA analysis and/or the TBA test and interpretation of sample MDA content and TBA test response in studies of lipid peroxidation require caution, discretion, and (especially in biological systems) correlative data from other indices of fatty peroxide formation and decomposition. © 1990.&quot;,&quot;publisher&quot;:&quot;Free Radic Biol Med&quot;,&quot;issue&quot;:&quot;6&quot;,&quot;volume&quot;:&quot;9&quot;,&quot;container-title-short&quot;:&quot;Free Radic. Biol. Med.&quot;},&quot;isTemporary&quot;:false}]},{&quot;citationID&quot;:&quot;MENDELEY_CITATION_ee308871-8526-4710-a653-c0ed3c11556a&quot;,&quot;properties&quot;:{&quot;noteIndex&quot;:0},&quot;isEdited&quot;:false,&quot;manualOverride&quot;:{&quot;isManuallyOverridden&quot;:false,&quot;citeprocText&quot;:&quot;[32]&quot;,&quot;manualOverrideText&quot;:&quot;&quot;},&quot;citationTag&quot;:&quot;MENDELEY_CITATION_v3_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&quot;,&quot;citationItems&quot;:[{&quot;id&quot;:&quot;0c5d94d3-6ff9-3695-8b1e-d3bdaf30c556&quot;,&quot;itemData&quot;:{&quot;type&quot;:&quot;article-journal&quot;,&quot;id&quot;:&quot;0c5d94d3-6ff9-3695-8b1e-d3bdaf30c556&quot;,&quot;title&quot;:&quot;Evaluation of oxidative stress markers in pathogenesis of diabetic neuropathy&quot;,&quot;author&quot;:[{&quot;family&quot;:&quot;Kasznicki&quot;,&quot;given&quot;:&quot;Jacek&quot;,&quot;parse-names&quot;:false,&quot;dropping-particle&quot;:&quot;&quot;,&quot;non-dropping-particle&quot;:&quot;&quot;},{&quot;family&quot;:&quot;Kosmalski&quot;,&quot;given&quot;:&quot;Marcin&quot;,&quot;parse-names&quot;:false,&quot;dropping-particle&quot;:&quot;&quot;,&quot;non-dropping-particle&quot;:&quot;&quot;},{&quot;family&quot;:&quot;Sliwinska&quot;,&quot;given&quot;:&quot;Agnieszka&quot;,&quot;parse-names&quot;:false,&quot;dropping-particle&quot;:&quot;&quot;,&quot;non-dropping-particle&quot;:&quot;&quot;},{&quot;family&quot;:&quot;Mrowicka&quot;,&quot;given&quot;:&quot;Malgorzata&quot;,&quot;parse-names&quot;:false,&quot;dropping-particle&quot;:&quot;&quot;,&quot;non-dropping-particle&quot;:&quot;&quot;},{&quot;family&quot;:&quot;Stanczyk&quot;,&quot;given&quot;:&quot;Malgorzata&quot;,&quot;parse-names&quot;:false,&quot;dropping-particle&quot;:&quot;&quot;,&quot;non-dropping-particle&quot;:&quot;&quot;},{&quot;family&quot;:&quot;Majsterek&quot;,&quot;given&quot;:&quot;Ireneusz&quot;,&quot;parse-names&quot;:false,&quot;dropping-particle&quot;:&quot;&quot;,&quot;non-dropping-particle&quot;:&quot;&quot;},{&quot;family&quot;:&quot;Drzewoski&quot;,&quot;given&quot;:&quot;Jozef&quot;,&quot;parse-names&quot;:false,&quot;dropping-particle&quot;:&quot;&quot;,&quot;non-dropping-particle&quot;:&quot;&quot;}],&quot;container-title&quot;:&quot;Molecular Biology Reports&quot;,&quot;container-title-short&quot;:&quot;Mol. Biol. Rep.&quot;,&quot;accessed&quot;:{&quot;date-parts&quot;:[[2026,2,10]]},&quot;DOI&quot;:&quot;10.1007/s11033-012-1722-9&quot;,&quot;ISSN&quot;:&quot;03014851&quot;,&quot;PMID&quot;:&quot;22718504&quot;,&quot;URL&quot;:&quot;https://pmc.ncbi.nlm.nih.gov/articles/PMC3404273/&quot;,&quot;issued&quot;:{&quot;date-parts&quot;:[[2012,9]]},&quot;page&quot;:&quot;8669&quot;,&quot;abstract&quot;:&quot;Experimental evidences suggest that hyperglycaemia-induced overproduction of reactive oxygen species and subsequent damage to proteins, lipids and DNA may play a key role in the development of distal symmetric polyneuropathy (DSPN)-the most common complication of diabetes mellitus. The study population consisted of 51 individuals aged 52-82 years classified into 3 groups: 16 patients diagnosed with type 2 diabetes mellitus (T2DM) with DSPN, 16 T2DM patients without DSPN and 19 control subjects without diabetes and neuropathy. The study was conducted to determine the activity of antioxidant enzymes: catalase (CAT), superoxide dismutase (SOD), glutathione peroxidase (GPX) and total antioxidant status (TAS) in the examined groups. An alkaline comet assay was used to determine the extent of DNA damage of oxidized purines as glicosylo-formamidoglicosylase (Fpg) sites, and oxidized pyrimidines as endonuclease III (Nth) sites. A significant decrease of SOD (P &lt; 0.05), GPX (P &lt; 0.05) and nonsignificant decrease of CAT (P &gt; 0.05), and TAS status (P &gt; 0.05) were seen in T2DM patients with neuropathy compared to T2DM patients as well as controls. T2DM patients with or without neuropathy revealed significantly lower (P &lt; 0.05) plasma concentration of nitrous oxide compared to the control subjects. Endogenous level of oxidative DNA damage in T2DM patients with DSPN was significantly higher compared both to the controls and T2DM patients without DSPN (P &lt; 0.001). Moreover, lymphocytes isolated from T2DM patients with DSPN were more susceptible to oxidative DNA lesions induced by hydrogen peroxide than from T2DM patients without DSPN (P &lt; 0.001). Our results confirm hypothesis that oxidative stress may play a substantial role in the development and progression of diabetic distal symmetric polyneuropathy. © 2012 The Author(s).&quot;,&quot;issue&quot;:&quot;9&quot;,&quot;volume&quot;:&quot;39&quot;},&quot;isTemporary&quot;:false}]},{&quot;citationID&quot;:&quot;MENDELEY_CITATION_301bfb26-524d-4a4a-9de0-7b8968fcf162&quot;,&quot;properties&quot;:{&quot;noteIndex&quot;:0},&quot;isEdited&quot;:false,&quot;manualOverride&quot;:{&quot;isManuallyOverridden&quot;:false,&quot;citeprocText&quot;:&quot;[33]&quot;,&quot;manualOverrideText&quot;:&quot;&quot;},&quot;citationTag&quot;:&quot;MENDELEY_CITATION_v3_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&quot;,&quot;citationItems&quot;:[{&quot;id&quot;:&quot;8d7fa40b-0aae-378a-8ad6-5ac2703c1f62&quot;,&quot;itemData&quot;:{&quot;type&quot;:&quot;webpage&quot;,&quot;id&quot;:&quot;8d7fa40b-0aae-378a-8ad6-5ac2703c1f62&quot;,&quot;title&quot;:&quot;(PDF) DECOMPOSITION OF HYDROGEN PEROXIDE BY CATALASE&quot;,&quot;accessed&quot;:{&quot;date-parts&quot;:[[2026,2,10]]},&quot;URL&quot;:&quot;https://www.researchgate.net/publication/353646113_DECOMPOSITION_OF_HYDROGEN_PEROXIDE_BY_CATALASE&quot;,&quot;container-title-short&quot;:&quot;&quot;},&quot;isTemporary&quot;:false}]},{&quot;citationID&quot;:&quot;MENDELEY_CITATION_8b0c29f1-7de2-4ffc-a7b3-76d8944a52ba&quot;,&quot;properties&quot;:{&quot;noteIndex&quot;:0},&quot;isEdited&quot;:false,&quot;manualOverride&quot;:{&quot;isManuallyOverridden&quot;:false,&quot;citeprocText&quot;:&quot;[34]&quot;,&quot;manualOverrideText&quot;:&quot;&quot;},&quot;citationTag&quot;:&quot;MENDELEY_CITATION_v3_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&quot;,&quot;citationItems&quot;:[{&quot;id&quot;:&quot;e51609b4-fef2-33fe-bde5-7e3e3f18e1da&quot;,&quot;itemData&quot;:{&quot;type&quot;:&quot;article-journal&quot;,&quot;id&quot;:&quot;e51609b4-fef2-33fe-bde5-7e3e3f18e1da&quot;,&quot;title&quot;:&quot;Assay for quantitative determination of glutathione and glutathione disulfide levels using enzymatic recycling method&quot;,&quot;author&quot;:[{&quot;family&quot;:&quot;Rahman&quot;,&quot;given&quot;:&quot;Irfan&quot;,&quot;parse-names&quot;:false,&quot;dropping-particle&quot;:&quot;&quot;,&quot;non-dropping-particle&quot;:&quot;&quot;},{&quot;family&quot;:&quot;Kode&quot;,&quot;given&quot;:&quot;Aruna&quot;,&quot;parse-names&quot;:false,&quot;dropping-particle&quot;:&quot;&quot;,&quot;non-dropping-particle&quot;:&quot;&quot;},{&quot;family&quot;:&quot;Biswas&quot;,&quot;given&quot;:&quot;Saibal K.&quot;,&quot;parse-names&quot;:false,&quot;dropping-particle&quot;:&quot;&quot;,&quot;non-dropping-particle&quot;:&quot;&quot;}],&quot;container-title&quot;:&quot;Nature protocols&quot;,&quot;accessed&quot;:{&quot;date-parts&quot;:[[2026,2,10]]},&quot;DOI&quot;:&quot;10.1038/nprot.2006.378&quot;,&quot;ISSN&quot;:&quot;17542189&quot;,&quot;PMID&quot;:&quot;17406579&quot;,&quot;URL&quot;:&quot;https://pubmed.ncbi.nlm.nih.gov/17406579/&quot;,&quot;issued&quot;:{&quot;date-parts&quot;:[[2006,1]]},&quot;page&quot;:&quot;3159-3165&quot;,&quot;abstract&quot;:&quot;The spectrophotometric/microplate reader assay method for glutathione (GSH) involves oxidation of GSH by the sulfhydryl reagent 5,5′-dithio-bis(2-nitrobenzoic acid) (DTNB) to form the yellow derivative 5′-thio-2-nitrobenzoic acid (TNB), measurable at 412 nm. The glutathione disulfide (GSSG) formed can be recycled to GSH by glutathione reductase in the presence of NADPH. The assay is composed of two parts: the preparation of cell cytosolic/tissue extracts and the detection of total glutathione (GSH and GSSG). The method is simple, convenient, sensitive and accurate. The lowest detection for GSH and GSSG is 0.103 nM in a 96-well plate. This method is rapid and the whole procedure takes no longer than 15 min including reagent preparation. The method can assay GSH in whole blood, plasma, serum, lung lavage fluid, cerebrospinal fluid, urine, tissues and cell extracts and can be extended for drug discovery/pharmacology and toxicology protocols to study the effects of drugs and toxic compounds on glutathione metabolism.&quot;,&quot;publisher&quot;:&quot;Nat Protoc&quot;,&quot;issue&quot;:&quot;6&quot;,&quot;volume&quot;:&quot;1&quot;,&quot;container-title-short&quot;:&quot;Nat. Protoc.&quot;},&quot;isTemporary&quot;:false}]},{&quot;citationID&quot;:&quot;MENDELEY_CITATION_f87e92a7-649a-44cd-9e14-d110f9ea0775&quot;,&quot;properties&quot;:{&quot;noteIndex&quot;:0},&quot;isEdited&quot;:false,&quot;manualOverride&quot;:{&quot;isManuallyOverridden&quot;:false,&quot;citeprocText&quot;:&quot;[35]&quot;,&quot;manualOverrideText&quot;:&quot;&quot;},&quot;citationTag&quot;:&quot;MENDELEY_CITATION_v3_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&quot;,&quot;citationItems&quot;:[{&quot;id&quot;:&quot;9fadb299-21c8-344d-bc4e-43068f08ea77&quot;,&quot;itemData&quot;:{&quot;type&quot;:&quot;article-journal&quot;,&quot;id&quot;:&quot;9fadb299-21c8-344d-bc4e-43068f08ea77&quot;,&quot;title&quot;:&quot;Understanding one-way ANOVA using conceptual figures&quot;,&quot;author&quot;:[{&quot;family&quot;:&quot;Kim&quot;,&quot;given&quot;:&quot;Tae Kyun&quot;,&quot;parse-names&quot;:false,&quot;dropping-particle&quot;:&quot;&quot;,&quot;non-dropping-particle&quot;:&quot;&quot;}],&quot;container-title&quot;:&quot;Korean Journal of Anesthesiology&quot;,&quot;accessed&quot;:{&quot;date-parts&quot;:[[2026,2,10]]},&quot;DOI&quot;:&quot;10.4097/kjae.2017.70.1.22&quot;,&quot;ISSN&quot;:&quot;20057563&quot;,&quot;PMID&quot;:&quot;28184262&quot;,&quot;URL&quot;:&quot;https://pmc.ncbi.nlm.nih.gov/articles/PMC5296382/&quot;,&quot;issued&quot;:{&quot;date-parts&quot;:[[2017,2,1]]},&quot;page&quot;:&quot;22&quot;,&quot;abstract&quot;:&quot;Analysis of variance (ANOVA) is one of the most frequently used statistical methods in medical research. The need for ANOVA arises from the error of alpha level inflation, which increases Type 1 error probability (false positive) and is caused by multiple comparisons. ANOVA uses the statistic F, which is the ratio of between and within group variances. The main interest of analysis is focused on the differences of group means; however, ANOVA focuses on the difference of variances. The illustrated figures would serve as a suitable guide to understand how ANOVA determines the mean difference problems by using between and within group variance differences.&quot;,&quot;publisher&quot;:&quot;Korean Society of Anesthesiologists&quot;,&quot;issue&quot;:&quot;1&quot;,&quot;volume&quot;:&quot;70&quot;,&quot;container-title-short&quot;:&quot;Korean J. Anesthesiol.&quot;},&quot;isTemporary&quot;:false}]},{&quot;citationID&quot;:&quot;MENDELEY_CITATION_e1173586-a825-4842-9ea8-081d1b723816&quot;,&quot;properties&quot;:{&quot;noteIndex&quot;:0},&quot;isEdited&quot;:false,&quot;manualOverride&quot;:{&quot;isManuallyOverridden&quot;:false,&quot;citeprocText&quot;:&quot;[36]&quot;,&quot;manualOverrideText&quot;:&quot;&quot;},&quot;citationTag&quot;:&quot;MENDELEY_CITATION_v3_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&quot;,&quot;citationItems&quot;:[{&quot;id&quot;:&quot;6afdcd8c-a224-316c-88e9-bac2b18e4179&quot;,&quot;itemData&quot;:{&quot;type&quot;:&quot;article-journal&quot;,&quot;id&quot;:&quot;6afdcd8c-a224-316c-88e9-bac2b18e4179&quot;,&quot;title&quot;:&quot;Peripheral Neuropathy in Diabetes Mellitus: Pathogenetic Mechanisms and Diagnostic Options&quot;,&quot;author&quot;:[{&quot;family&quot;:&quot;Galiero&quot;,&quot;given&quot;:&quot;Raffaele&quot;,&quot;parse-names&quot;:false,&quot;dropping-particle&quot;:&quot;&quot;,&quot;non-dropping-particle&quot;:&quot;&quot;},{&quot;family&quot;:&quot;Caturano&quot;,&quot;given&quot;:&quot;Alfredo&quot;,&quot;parse-names&quot;:false,&quot;dropping-particle&quot;:&quot;&quot;,&quot;non-dropping-particle&quot;:&quot;&quot;},{&quot;family&quot;:&quot;Vetrano&quot;,&quot;given&quot;:&quot;Erica&quot;,&quot;parse-names&quot;:false,&quot;dropping-particle&quot;:&quot;&quot;,&quot;non-dropping-particle&quot;:&quot;&quot;},{&quot;family&quot;:&quot;Beccia&quot;,&quot;given&quot;:&quot;Domenico&quot;,&quot;parse-names&quot;:false,&quot;dropping-particle&quot;:&quot;&quot;,&quot;non-dropping-particle&quot;:&quot;&quot;},{&quot;family&quot;:&quot;Brin&quot;,&quot;given&quot;:&quot;Chiara&quot;,&quot;parse-names&quot;:false,&quot;dropping-particle&quot;:&quot;&quot;,&quot;non-dropping-particle&quot;:&quot;&quot;},{&quot;family&quot;:&quot;Alfano&quot;,&quot;given&quot;:&quot;Maria&quot;,&quot;parse-names&quot;:false,&quot;dropping-particle&quot;:&quot;&quot;,&quot;non-dropping-particle&quot;:&quot;&quot;},{&quot;family&quot;:&quot;Salvo&quot;,&quot;given&quot;:&quot;Jessica&quot;,&quot;parse-names&quot;:false,&quot;dropping-particle&quot;:&quot;&quot;,&quot;non-dropping-particle&quot;:&quot;Di&quot;},{&quot;family&quot;:&quot;Epifani&quot;,&quot;given&quot;:&quot;Raffaella&quot;,&quot;parse-names&quot;:false,&quot;dropping-particle&quot;:&quot;&quot;,&quot;non-dropping-particle&quot;:&quot;&quot;},{&quot;family&quot;:&quot;Piacevole&quot;,&quot;given&quot;:&quot;Alessia&quot;,&quot;parse-names&quot;:false,&quot;dropping-particle&quot;:&quot;&quot;,&quot;non-dropping-particle&quot;:&quot;&quot;},{&quot;family&quot;:&quot;Tagliaferri&quot;,&quot;given&quot;:&quot;Giuseppina&quot;,&quot;parse-names&quot;:false,&quot;dropping-particle&quot;:&quot;&quot;,&quot;non-dropping-particle&quot;:&quot;&quot;},{&quot;family&quot;:&quot;Rocco&quot;,&quot;given&quot;:&quot;Maria&quot;,&quot;parse-names&quot;:false,&quot;dropping-particle&quot;:&quot;&quot;,&quot;non-dropping-particle&quot;:&quot;&quot;},{&quot;family&quot;:&quot;Iadicicco&quot;,&quot;given&quot;:&quot;Ilaria&quot;,&quot;parse-names&quot;:false,&quot;dropping-particle&quot;:&quot;&quot;,&quot;non-dropping-particle&quot;:&quot;&quot;},{&quot;family&quot;:&quot;Docimo&quot;,&quot;given&quot;:&quot;Giovanni&quot;,&quot;parse-names&quot;:false,&quot;dropping-particle&quot;:&quot;&quot;,&quot;non-dropping-particle&quot;:&quot;&quot;},{&quot;family&quot;:&quot;Rinaldi&quot;,&quot;given&quot;:&quot;Luca&quot;,&quot;parse-names&quot;:false,&quot;dropping-particle&quot;:&quot;&quot;,&quot;non-dropping-particle&quot;:&quot;&quot;},{&quot;family&quot;:&quot;Sardu&quot;,&quot;given&quot;:&quot;Celestino&quot;,&quot;parse-names&quot;:false,&quot;dropping-particle&quot;:&quot;&quot;,&quot;non-dropping-particle&quot;:&quot;&quot;},{&quot;family&quot;:&quot;Salvatore&quot;,&quot;given&quot;:&quot;Teresa&quot;,&quot;parse-names&quot;:false,&quot;dropping-particle&quot;:&quot;&quot;,&quot;non-dropping-particle&quot;:&quot;&quot;},{&quot;family&quot;:&quot;Marfella&quot;,&quot;given&quot;:&quot;Raffaele&quot;,&quot;parse-names&quot;:false,&quot;dropping-particle&quot;:&quot;&quot;,&quot;non-dropping-particle&quot;:&quot;&quot;},{&quot;family&quot;:&quot;Sasso&quot;,&quot;given&quot;:&quot;Ferdinando Carlo&quot;,&quot;parse-names&quot;:false,&quot;dropping-particle&quot;:&quot;&quot;,&quot;non-dropping-particle&quot;:&quot;&quot;}],&quot;container-title&quot;:&quot;International Journal of Molecular Sciences 2023, Vol. 24, Page 3554&quot;,&quot;accessed&quot;:{&quot;date-parts&quot;:[[2026,2,10]]},&quot;DOI&quot;:&quot;10.3390/ijms24043554&quot;,&quot;ISSN&quot;:&quot;14220067&quot;,&quot;PMID&quot;:&quot;36834971&quot;,&quot;URL&quot;:&quot;https://www.mdpi.com/1422-0067/24/4/3554/htm&quot;,&quot;issued&quot;:{&quot;date-parts&quot;:[[2023,2,10]]},&quot;page&quot;:&quot;3554&quot;,&quot;abstract&quot;:&quot;Diabetic neuropathy (DN) is one of the main microvascular complications of both type 1 and type 2 diabetes mellitus. Sometimes, this could already be present at the time of diagnosis for type 2 diabetes mellitus (T2DM), while it appears in subjects with type 1 diabetes mellitus (T1DM) almost 10 years after the onset of the disease. The impairment can involve both somatic fibers of the peripheral nervous system, with sensory-motor manifestations, as well as the autonomic system, with neurovegetative multiorgan manifestations through an impairment of sympathetic/parasympathetic conduction. It seems that, both indirectly and directly, the hyperglycemic state and oxygen delivery reduction through the vasa nervorum can determine inflammatory damage, which in turn is responsible for the alteration of the activity of the nerves. The symptoms and signs are therefore various, although symmetrical painful somatic neuropathy at the level of the lower limbs seems the most frequent manifestation. The pathophysiological aspects underlying the onset and progression of DN are not entirely clear. The purpose of this review is to shed light on the most recent discoveries in the pathophysiological and diagnostic fields concerning this complex and frequent complication of diabetes mellitus.&quot;,&quot;publisher&quot;:&quot;Multidisciplinary Digital Publishing Institute&quot;,&quot;issue&quot;:&quot;4&quot;,&quot;volume&quot;:&quot;24&quot;,&quot;container-title-short&quot;:&quot;&quot;},&quot;isTemporary&quot;:false}]},{&quot;citationID&quot;:&quot;MENDELEY_CITATION_63fc7d6f-6244-4d51-91f8-be871dd92776&quot;,&quot;properties&quot;:{&quot;noteIndex&quot;:0},&quot;isEdited&quot;:false,&quot;manualOverride&quot;:{&quot;isManuallyOverridden&quot;:false,&quot;citeprocText&quot;:&quot;[37]&quot;,&quot;manualOverrideText&quot;:&quot;&quot;},&quot;citationTag&quot;:&quot;MENDELEY_CITATION_v3_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&quot;,&quot;citationItems&quot;:[{&quot;id&quot;:&quot;a5624121-1ef5-3b7a-8933-df0a62b10481&quot;,&quot;itemData&quot;:{&quot;type&quot;:&quot;article-journal&quot;,&quot;id&quot;:&quot;a5624121-1ef5-3b7a-8933-df0a62b10481&quot;,&quot;title&quot;:&quot;Diabetic Peripheral Neuropathy&quot;,&quot;author&quot;:[{&quot;family&quot;:&quot;Bodman&quot;,&quot;given&quot;:&quot;Myron A.&quot;,&quot;parse-names&quot;:false,&quot;dropping-particle&quot;:&quot;&quot;,&quot;non-dropping-particle&quot;:&quot;&quot;},{&quot;family&quot;:&quot;Dreyer&quot;,&quot;given&quot;:&quot;Mark A.&quot;,&quot;parse-names&quot;:false,&quot;dropping-particle&quot;:&quot;&quot;,&quot;non-dropping-particle&quot;:&quot;&quot;},{&quot;family&quot;:&quot;Varacallo&quot;,&quot;given&quot;:&quot;Matthew A.&quot;,&quot;parse-names&quot;:false,&quot;dropping-particle&quot;:&quot;&quot;,&quot;non-dropping-particle&quot;:&quot;&quot;}],&quot;container-title&quot;:&quot;The Diabetes Textbook: Clinical Principles, Patient Management and Public Health Issues, Second Edition&quot;,&quot;accessed&quot;:{&quot;date-parts&quot;:[[2026,2,10]]},&quot;DOI&quot;:&quot;10.1007/978-3-031-25519-9_56&quot;,&quot;ISBN&quot;:&quot;9783031255199&quot;,&quot;PMID&quot;:&quot;28723038&quot;,&quot;URL&quot;:&quot;https://www.ncbi.nlm.nih.gov/books/NBK442009/&quot;,&quot;issued&quot;:{&quot;date-parts&quot;:[[2024,2,25]]},&quot;page&quot;:&quot;923-937&quot;,&quot;abstract&quot;:&quot;Changes in human behaviour and lifestyle over the last century have resulted in a dramatic increase in the incidence of diabetes worldwide. Neuropathy is a common and costly complication of both type 1 and type 2 diabetes. The prevalence of neuropathy is estimated to be about 8% in newly diagnosed patients and greater than 50% in patients with long-standing disease. There are two main types of diabetic neuropathies, named as sensorimotor and autonomic neuropathies. Sensorimotor neuropathy is marked by pain, paraesthesia and sensory loss. Apart from strict glycaemic control, no further therapeutic approach exists in the prevention of this phenomenon. The symptomatic treatment of sensory symptoms includes tricyclic antidepressants, serotonin and norepinephrine reuptake inhibitors, gabapentin, pregabalin and opioids. Other treatment strategies are not so effective.&quot;,&quot;publisher&quot;:&quot;StatPearls Publishing&quot;,&quot;container-title-short&quot;:&quot;&quot;},&quot;isTemporary&quot;:false}]},{&quot;citationID&quot;:&quot;MENDELEY_CITATION_f6bd09f8-bdd4-4431-9530-c5434e9b0982&quot;,&quot;properties&quot;:{&quot;noteIndex&quot;:0},&quot;isEdited&quot;:false,&quot;manualOverride&quot;:{&quot;isManuallyOverridden&quot;:false,&quot;citeprocText&quot;:&quot;[38]&quot;,&quot;manualOverrideText&quot;:&quot;&quot;},&quot;citationTag&quot;:&quot;MENDELEY_CITATION_v3_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&quot;,&quot;citationItems&quot;:[{&quot;id&quot;:&quot;01085e88-fdae-3e5a-922a-4260dac045b2&quot;,&quot;itemData&quot;:{&quot;type&quot;:&quot;article-journal&quot;,&quot;id&quot;:&quot;01085e88-fdae-3e5a-922a-4260dac045b2&quot;,&quot;title&quot;:&quot;Quercetin: Its Antioxidant Mechanism, Antibacterial Properties and Potential Application in Prevention and Control of Toxipathy&quot;,&quot;author&quot;:[{&quot;family&quot;:&quot;Qi&quot;,&quot;given&quot;:&quot;Weidong&quot;,&quot;parse-names&quot;:false,&quot;dropping-particle&quot;:&quot;&quot;,&quot;non-dropping-particle&quot;:&quot;&quot;},{&quot;family&quot;:&quot;Qi&quot;,&quot;given&quot;:&quot;Wanxiang&quot;,&quot;parse-names&quot;:false,&quot;dropping-particle&quot;:&quot;&quot;,&quot;non-dropping-particle&quot;:&quot;&quot;},{&quot;family&quot;:&quot;Xiong&quot;,&quot;given&quot;:&quot;Dongwei&quot;,&quot;parse-names&quot;:false,&quot;dropping-particle&quot;:&quot;&quot;,&quot;non-dropping-particle&quot;:&quot;&quot;},{&quot;family&quot;:&quot;Long&quot;,&quot;given&quot;:&quot;Miao&quot;,&quot;parse-names&quot;:false,&quot;dropping-particle&quot;:&quot;&quot;,&quot;non-dropping-particle&quot;:&quot;&quot;}],&quot;container-title&quot;:&quot;Molecules&quot;,&quot;accessed&quot;:{&quot;date-parts&quot;:[[2026,2,10]]},&quot;DOI&quot;:&quot;10.3390/molecules27196545&quot;,&quot;ISSN&quot;:&quot;14203049&quot;,&quot;PMID&quot;:&quot;36235082&quot;,&quot;URL&quot;:&quot;https://pmc.ncbi.nlm.nih.gov/articles/PMC9571766/&quot;,&quot;issued&quot;:{&quot;date-parts&quot;:[[2022,10,1]]},&quot;page&quot;:&quot;6545&quot;,&quot;abstract&quot;:&quot;Quercetin, as a flavonol compound found in plants, has a variety of biological activities. It is widely present in nature and the human diet, with powerful oxidative properties and biological activities. In this review, the antioxidant mechanism and broad-spectrum antibacterial properties of quercetin are revealed; the intervention effects of quercetin on pesticide poisoning and the pathway of action are investigated; the toxic effects of main mycotoxins on the collection and the detoxification process of quercetin are summarized; whether it is able to reduce the toxicity of mycotoxins is proved; and the harmful effects of heavy metal poisoning on the collection, the prevention, and control of quercetin are evaluated. This review is expected to enrich the understanding of the properties of quercetin and promote its better application in clinical practice.&quot;,&quot;publisher&quot;:&quot;MDPI&quot;,&quot;issue&quot;:&quot;19&quot;,&quot;volume&quot;:&quot;27&quot;,&quot;container-title-short&quot;:&quot;&quot;},&quot;isTemporary&quot;:false}]},{&quot;citationID&quot;:&quot;MENDELEY_CITATION_12955d0e-1488-4d7c-bbfb-39d9dca2ea38&quot;,&quot;properties&quot;:{&quot;noteIndex&quot;:0},&quot;isEdited&quot;:false,&quot;manualOverride&quot;:{&quot;isManuallyOverridden&quot;:false,&quot;citeprocText&quot;:&quot;[39]&quot;,&quot;manualOverrideText&quot;:&quot;&quot;},&quot;citationTag&quot;:&quot;MENDELEY_CITATION_v3_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&quot;,&quot;citationItems&quot;:[{&quot;id&quot;:&quot;18d5fe2a-f4cb-3c66-8bbd-85a00e78e050&quot;,&quot;itemData&quot;:{&quot;type&quot;:&quot;article-journal&quot;,&quot;id&quot;:&quot;18d5fe2a-f4cb-3c66-8bbd-85a00e78e050&quot;,&quot;title&quot;:&quot;Recent advances and prospects of nanoparticle-based drug delivery for diabetic ocular complications&quot;,&quot;author&quot;:[{&quot;family&quot;:&quot;Wang&quot;,&quot;given&quot;:&quot;Siqi&quot;,&quot;parse-names&quot;:false,&quot;dropping-particle&quot;:&quot;&quot;,&quot;non-dropping-particle&quot;:&quot;&quot;},{&quot;family&quot;:&quot;Yang&quot;,&quot;given&quot;:&quot;Hongyu&quot;,&quot;parse-names&quot;:false,&quot;dropping-particle&quot;:&quot;&quot;,&quot;non-dropping-particle&quot;:&quot;&quot;},{&quot;family&quot;:&quot;Zheng&quot;,&quot;given&quot;:&quot;Jiaying&quot;,&quot;parse-names&quot;:false,&quot;dropping-particle&quot;:&quot;&quot;,&quot;non-dropping-particle&quot;:&quot;&quot;},{&quot;family&quot;:&quot;Tong&quot;,&quot;given&quot;:&quot;Aiyang&quot;,&quot;parse-names&quot;:false,&quot;dropping-particle&quot;:&quot;&quot;,&quot;non-dropping-particle&quot;:&quot;&quot;},{&quot;family&quot;:&quot;Mu&quot;,&quot;given&quot;:&quot;Sen&quot;,&quot;parse-names&quot;:false,&quot;dropping-particle&quot;:&quot;&quot;,&quot;non-dropping-particle&quot;:&quot;&quot;},{&quot;family&quot;:&quot;Wang&quot;,&quot;given&quot;:&quot;Dongkai&quot;,&quot;parse-names&quot;:false,&quot;dropping-particle&quot;:&quot;&quot;,&quot;non-dropping-particle&quot;:&quot;&quot;},{&quot;family&quot;:&quot;Zhao&quot;,&quot;given&quot;:&quot;Ming&quot;,&quot;parse-names&quot;:false,&quot;dropping-particle&quot;:&quot;&quot;,&quot;non-dropping-particle&quot;:&quot;&quot;},{&quot;family&quot;:&quot;Li&quot;,&quot;given&quot;:&quot;Ji&quot;,&quot;parse-names&quot;:false,&quot;dropping-particle&quot;:&quot;&quot;,&quot;non-dropping-particle&quot;:&quot;&quot;}],&quot;container-title&quot;:&quot;Theranostics&quot;,&quot;accessed&quot;:{&quot;date-parts&quot;:[[2026,2,10]]},&quot;DOI&quot;:&quot;10.7150/thno.108691&quot;,&quot;ISSN&quot;:&quot;18387640&quot;,&quot;PMID&quot;:&quot;40093887&quot;,&quot;URL&quot;:&quot;https://www.thno.org://creativecommons.org/licenses/by/4.0/&quot;,&quot;issued&quot;:{&quot;date-parts&quot;:[[2025]]},&quot;page&quot;:&quot;3551-3570&quot;,&quot;abstract&quot;:&quot;Diabetes mellitus (DM) is a chronic metabolic disorder that significantly affects various organ systems. The systemic effects of DM lead to numerous complications, with ocular manifestations being of particular concern due to their severity and impact on quality of life. Hyperglycemia-induced ocular damage often results in a range of lesions, including diabetic retinopathy (DR), keratopathy, cataracts, and glaucoma. These conditions impose considerable physical discomfort on patients and place a substantial economic burden on healthcare systems. The advent of nanotechnology has facilitated the development of innovative therapeutic strategies for managing diabetic ocular complications. This review highlights several common ocular complications associated with DM, focusing on their pathogenesis and treatment strategies. Emphasis is placed on the innovative applications and potential of nanotechnology in treating diabetic ocular complications.&quot;,&quot;publisher&quot;:&quot;Ivyspring International Publisher&quot;,&quot;issue&quot;:&quot;8&quot;,&quot;volume&quot;:&quot;15&quot;,&quot;container-title-short&quot;:&quot;Theranostics&quot;},&quot;isTemporary&quot;:false}]},{&quot;citationID&quot;:&quot;MENDELEY_CITATION_11d74ffc-6b28-4126-933e-c80b1a60cb9d&quot;,&quot;properties&quot;:{&quot;noteIndex&quot;:0},&quot;isEdited&quot;:false,&quot;manualOverride&quot;:{&quot;isManuallyOverridden&quot;:false,&quot;citeprocText&quot;:&quot;[40]&quot;,&quot;manualOverrideText&quot;:&quot;&quot;},&quot;citationTag&quot;:&quot;MENDELEY_CITATION_v3_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&quot;,&quot;citationItems&quot;:[{&quot;id&quot;:&quot;5c13d524-2cf7-3d65-b5f3-09bea94c00e4&quot;,&quot;itemData&quot;:{&quot;type&quot;:&quot;article-journal&quot;,&quot;id&quot;:&quot;5c13d524-2cf7-3d65-b5f3-09bea94c00e4&quot;,&quot;title&quot;:&quot;Recent Advances in Nanoformulations for Quercetin Delivery&quot;,&quot;author&quot;:[{&quot;family&quot;:&quot;Tomou&quot;,&quot;given&quot;:&quot;Ekaterina Michaela&quot;,&quot;parse-names&quot;:false,&quot;dropping-particle&quot;:&quot;&quot;,&quot;non-dropping-particle&quot;:&quot;&quot;},{&quot;family&quot;:&quot;Papakyriakopoulou&quot;,&quot;given&quot;:&quot;Paraskevi&quot;,&quot;parse-names&quot;:false,&quot;dropping-particle&quot;:&quot;&quot;,&quot;non-dropping-particle&quot;:&quot;&quot;},{&quot;family&quot;:&quot;Saitani&quot;,&quot;given&quot;:&quot;Elmina Marina&quot;,&quot;parse-names&quot;:false,&quot;dropping-particle&quot;:&quot;&quot;,&quot;non-dropping-particle&quot;:&quot;&quot;},{&quot;family&quot;:&quot;Valsami&quot;,&quot;given&quot;:&quot;Georgia&quot;,&quot;parse-names&quot;:false,&quot;dropping-particle&quot;:&quot;&quot;,&quot;non-dropping-particle&quot;:&quot;&quot;},{&quot;family&quot;:&quot;Pippa&quot;,&quot;given&quot;:&quot;Natassa&quot;,&quot;parse-names&quot;:false,&quot;dropping-particle&quot;:&quot;&quot;,&quot;non-dropping-particle&quot;:&quot;&quot;},{&quot;family&quot;:&quot;Skaltsa&quot;,&quot;given&quot;:&quot;Helen&quot;,&quot;parse-names&quot;:false,&quot;dropping-particle&quot;:&quot;&quot;,&quot;non-dropping-particle&quot;:&quot;&quot;}],&quot;container-title&quot;:&quot;Pharmaceutics&quot;,&quot;accessed&quot;:{&quot;date-parts&quot;:[[2026,2,10]]},&quot;DOI&quot;:&quot;10.3390/pharmaceutics15061656&quot;,&quot;ISSN&quot;:&quot;19994923&quot;,&quot;PMID&quot;:&quot;37376104&quot;,&quot;URL&quot;:&quot;https://pmc.ncbi.nlm.nih.gov/articles/PMC10302355/&quot;,&quot;issued&quot;:{&quot;date-parts&quot;:[[2023,6,1]]},&quot;page&quot;:&quot;1656&quot;,&quot;abstract&quot;:&quot;Quercetin (QUE) is a flavonol that has recently received great attention from the research community due to its important pharmacological properties. However, QUE’s low solubility and extended first-pass metabolism limit its oral administration. This review aims to present the potential of various nanoformulations in the development of QUE dosage forms for bioavailability enhancement. Advanced drug delivery nanosystems can be used for more efficient encapsulation, targeting, and controlled release of QUE. An overview of the primary nanosystem categories, formulation processes, and characterization techniques are described. In particular, lipid-based nanocarriers, such as liposomes, nanostructured-lipid carries, and solid-lipid nanoparticles, are widely used to improve QUE’s oral absorption and targeting, increase its antioxidant activity, and ensure sustained release. Moreover, polymer-based nanocarriers exhibit unique properties for the improvement of the Absorption, Distribution, Metabolism, Excretion, and Toxicology (ADME(T)) profile. Namely, micelles and hydrogels composed of natural or synthetic polymers have been applied in QUE formulations. Furthermore, cyclodextrin, niosomes, and nanoemulsions are proposed as formulation alternatives for administration via different routes. This comprehensive review provides insight into the role of advanced drug delivery nanosystems for the formulation and delivery of QUE.&quot;,&quot;publisher&quot;:&quot;Multidisciplinary Digital Publishing Institute (MDPI)&quot;,&quot;issue&quot;:&quot;6&quot;,&quot;volume&quot;:&quot;15&quot;,&quot;container-title-short&quot;:&quot;Pharmaceutics&quot;},&quot;isTemporary&quot;:false}]},{&quot;citationID&quot;:&quot;MENDELEY_CITATION_17d9fde5-8a88-42a8-b2b3-dbf90bb9c32b&quot;,&quot;properties&quot;:{&quot;noteIndex&quot;:0},&quot;isEdited&quot;:false,&quot;manualOverride&quot;:{&quot;isManuallyOverridden&quot;:false,&quot;citeprocText&quot;:&quot;[41]&quot;,&quot;manualOverrideText&quot;:&quot;&quot;},&quot;citationTag&quot;:&quot;MENDELEY_CITATION_v3_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&quot;,&quot;citationItems&quot;:[{&quot;id&quot;:&quot;cd8220b5-5e2d-3ecb-9a10-55ddebd5a992&quot;,&quot;itemData&quot;:{&quot;type&quot;:&quot;webpage&quot;,&quot;id&quot;:&quot;cd8220b5-5e2d-3ecb-9a10-55ddebd5a992&quot;,&quot;title&quot;:&quot;In vitro release of free quercetin and optimized Q-ALG/CSNP-G2 gel... | Download Scientific Diagram&quot;,&quot;accessed&quot;:{&quot;date-parts&quot;:[[2026,2,10]]},&quot;URL&quot;:&quot;https://www.researchgate.net/figure/In-vitro-release-of-free-quercetin-and-optimized-Q-ALG-CSNP-G2-gel-formulation-in_fig3_358191363&quot;,&quot;container-title-short&quot;:&quot;&quot;},&quot;isTemporary&quot;:false}]},{&quot;citationID&quot;:&quot;MENDELEY_CITATION_b52c8414-8adc-4540-8df5-6c3340f154f0&quot;,&quot;properties&quot;:{&quot;noteIndex&quot;:0},&quot;isEdited&quot;:false,&quot;manualOverride&quot;:{&quot;isManuallyOverridden&quot;:false,&quot;citeprocText&quot;:&quot;[42]&quot;,&quot;manualOverrideText&quot;:&quot;&quot;},&quot;citationTag&quot;:&quot;MENDELEY_CITATION_v3_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&quot;,&quot;citationItems&quot;:[{&quot;id&quot;:&quot;5ab3526d-04d9-3d92-9a96-cd72efe88fc1&quot;,&quot;itemData&quot;:{&quot;type&quot;:&quot;article-journal&quot;,&quot;id&quot;:&quot;5ab3526d-04d9-3d92-9a96-cd72efe88fc1&quot;,&quot;title&quot;:&quot;Antioxidant Strategies in the Management of Diabetic Neuropathy&quot;,&quot;author&quot;:[{&quot;family&quot;:&quot;Oyenihi&quot;,&quot;given&quot;:&quot;Ayodeji Babatunde&quot;,&quot;parse-names&quot;:false,&quot;dropping-particle&quot;:&quot;&quot;,&quot;non-dropping-particle&quot;:&quot;&quot;},{&quot;family&quot;:&quot;Ayeleso&quot;,&quot;given&quot;:&quot;Ademola Olabode&quot;,&quot;parse-names&quot;:false,&quot;dropping-particle&quot;:&quot;&quot;,&quot;non-dropping-particle&quot;:&quot;&quot;},{&quot;family&quot;:&quot;Mukwevho&quot;,&quot;given&quot;:&quot;Emmanuel&quot;,&quot;parse-names&quot;:false,&quot;dropping-particle&quot;:&quot;&quot;,&quot;non-dropping-particle&quot;:&quot;&quot;},{&quot;family&quot;:&quot;Masola&quot;,&quot;given&quot;:&quot;Bubuya&quot;,&quot;parse-names&quot;:false,&quot;dropping-particle&quot;:&quot;&quot;,&quot;non-dropping-particle&quot;:&quot;&quot;}],&quot;container-title&quot;:&quot;BioMed Research International&quot;,&quot;accessed&quot;:{&quot;date-parts&quot;:[[2026,2,10]]},&quot;DOI&quot;:&quot;10.1155/2015/515042&quot;,&quot;ISSN&quot;:&quot;23146141&quot;,&quot;PMID&quot;:&quot;25821809&quot;,&quot;URL&quot;:&quot;https://pmc.ncbi.nlm.nih.gov/articles/PMC4363503/&quot;,&quot;issued&quot;:{&quot;date-parts&quot;:[[2015]]},&quot;page&quot;:&quot;515042&quot;,&quot;abstract&quot;:&quot;Chronic hyperglycaemia (an abnormally high glucose concentration in the blood) resulting from defects in insulin secretion/action, or both, is the major hallmark of diabetes in which it is known to be involved in the progression of the condition to different complications that include diabetic neuropathy. Diabetic neuropathy (diabetes-induced nerve damage) is the most common diabetic complication and can be devastating because it can lead to disability. There is an increasing body of evidence associating diabetic neuropathy with oxidative stress. Oxidative stress results from the production of oxygen free radicals in the body in excess of its ability to eliminate them by antioxidant activity. Antioxidants have different mechanisms and sites of actions by which they exert their biochemical effects and ameliorate nerve dysfunction in diabetes by acting directly against oxidative damage. This review will examine different strategies for managing diabetic neuropathy which rely on exogenous antioxidants.&quot;,&quot;publisher&quot;:&quot;Hindawi Publishing Corporation&quot;,&quot;volume&quot;:&quot;2015&quot;,&quot;container-title-short&quot;:&quot;Biomed Res. Int.&quot;},&quot;isTemporary&quot;:false}]},{&quot;citationID&quot;:&quot;MENDELEY_CITATION_d8068d6e-e92e-4e29-9e9f-9e444fb98b73&quot;,&quot;properties&quot;:{&quot;noteIndex&quot;:0},&quot;isEdited&quot;:false,&quot;manualOverride&quot;:{&quot;isManuallyOverridden&quot;:false,&quot;citeprocText&quot;:&quot;[43]&quot;,&quot;manualOverrideText&quot;:&quot;&quot;},&quot;citationTag&quot;:&quot;MENDELEY_CITATION_v3_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&quot;,&quot;citationItems&quot;:[{&quot;id&quot;:&quot;9e38c514-6c51-39fb-9909-14c7b6eb8e09&quot;,&quot;itemData&quot;:{&quot;type&quot;:&quot;article-journal&quot;,&quot;id&quot;:&quot;9e38c514-6c51-39fb-9909-14c7b6eb8e09&quot;,&quot;title&quot;:&quot;Improvement of Therapeutic Value of Quercetin with Chitosan Nanoparticle Delivery Systems and Potential Applications&quot;,&quot;author&quot;:[{&quot;family&quot;:&quot;Lawson&quot;,&quot;given&quot;:&quot;Michael Kenneth&quot;,&quot;parse-names&quot;:false,&quot;dropping-particle&quot;:&quot;&quot;,&quot;non-dropping-particle&quot;:&quot;&quot;}],&quot;container-title&quot;:&quot;International Journal of Molecular Sciences&quot;,&quot;accessed&quot;:{&quot;date-parts&quot;:[[2026,2,10]]},&quot;DOI&quot;:&quot;10.3390/ijms24043293&quot;,&quot;ISSN&quot;:&quot;14220067&quot;,&quot;PMID&quot;:&quot;36834702&quot;,&quot;URL&quot;:&quot;https://pmc.ncbi.nlm.nih.gov/articles/PMC9959398/&quot;,&quot;issued&quot;:{&quot;date-parts&quot;:[[2023,2,1]]},&quot;page&quot;:&quot;3293&quot;,&quot;abstract&quot;:&quot;This paper reviews recent studies investigating chitosan nanoparticles as drug delivery systems for quercetin. The therapeutic properties of quercetin include antioxidant, antibacterial and anti-cancer potential, but its therapeutic value is limited by its hydrophobic nature, low bioavailability and fast metabolism. Quercetin may also act synergistically with other stronger drugs for specific disease states. The encapsulation of quercetin in nanoparticles may increase its therapeutic value. Chitosan nanoparticles are a popular candidate in preliminary research, but the complex nature of chitosan makes standardisation difficult. Recent studies have used in-vitro, and in-vivo experiments to study the delivery of quercetin alone or in combination with another active pharmaceutical ingredient encapsulated in chitosan nanoparticles. These studies were compared with the administration of non-encapsulated quercetin formulation. Results suggest that encapsulated nanoparticle formulations are better. In-vivo or animal models simulated the type of disease required to be treated. The types of diseases were breast, lung, liver and colon cancers, mechanical and UVB-induced skin damage, cataracts and general oxidative stress. The reviewed studies included various routes of administration: oral, intravenous and transdermal routes. Although toxicity tests were often included, it is believed that the toxicity of loaded nanoparticles needs to be further researched, especially when not orally administered.&quot;,&quot;publisher&quot;:&quot;Multidisciplinary Digital Publishing Institute (MDPI)&quot;,&quot;issue&quot;:&quot;4&quot;,&quot;volume&quot;:&quot;24&quot;,&quot;container-title-short&quot;:&quot;Int. J. Mol. Sci.&quot;},&quot;isTemporary&quot;:false}]},{&quot;citationID&quot;:&quot;MENDELEY_CITATION_f3c15794-fd07-4a7e-a221-d79ed92c2210&quot;,&quot;properties&quot;:{&quot;noteIndex&quot;:0},&quot;isEdited&quot;:false,&quot;manualOverride&quot;:{&quot;isManuallyOverridden&quot;:false,&quot;citeprocText&quot;:&quot;[44]&quot;,&quot;manualOverrideText&quot;:&quot;&quot;},&quot;citationTag&quot;:&quot;MENDELEY_CITATION_v3_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&quot;,&quot;citationItems&quot;:[{&quot;id&quot;:&quot;0d96771a-a49f-3f20-865c-fb6dbb95fe31&quot;,&quot;itemData&quot;:{&quot;type&quot;:&quot;article-journal&quot;,&quot;id&quot;:&quot;0d96771a-a49f-3f20-865c-fb6dbb95fe31&quot;,&quot;title&quot;:&quot;Engineered Delivery Systems for Chinese Herbal Medicine in Peripheral Nerve Regeneration: Challenges, Advances, and Future Perspectives&quot;,&quot;author&quot;:[{&quot;family&quot;:&quot;Zhang&quot;,&quot;given&quot;:&quot;Ruirui&quot;,&quot;parse-names&quot;:false,&quot;dropping-particle&quot;:&quot;&quot;,&quot;non-dropping-particle&quot;:&quot;&quot;},{&quot;family&quot;:&quot;Gu&quot;,&quot;given&quot;:&quot;Miao&quot;,&quot;parse-names&quot;:false,&quot;dropping-particle&quot;:&quot;&quot;,&quot;non-dropping-particle&quot;:&quot;&quot;},{&quot;family&quot;:&quot;Ma&quot;,&quot;given&quot;:&quot;Rui&quot;,&quot;parse-names&quot;:false,&quot;dropping-particle&quot;:&quot;&quot;,&quot;non-dropping-particle&quot;:&quot;&quot;},{&quot;family&quot;:&quot;Li&quot;,&quot;given&quot;:&quot;Rong&quot;,&quot;parse-names&quot;:false,&quot;dropping-particle&quot;:&quot;&quot;,&quot;non-dropping-particle&quot;:&quot;&quot;},{&quot;family&quot;:&quot;Xu&quot;,&quot;given&quot;:&quot;Shijie&quot;,&quot;parse-names&quot;:false,&quot;dropping-particle&quot;:&quot;&quot;,&quot;non-dropping-particle&quot;:&quot;&quot;},{&quot;family&quot;:&quot;Xu&quot;,&quot;given&quot;:&quot;Zhipeng&quot;,&quot;parse-names&quot;:false,&quot;dropping-particle&quot;:&quot;&quot;,&quot;non-dropping-particle&quot;:&quot;&quot;}],&quot;container-title&quot;:&quot;Drug Design, Development and Therapy&quot;,&quot;container-title-short&quot;:&quot;Drug Des. Devel. Ther.&quot;,&quot;accessed&quot;:{&quot;date-parts&quot;:[[2026,2,10]]},&quot;DOI&quot;:&quot;10.2147/DDDT.S563805&quot;,&quot;ISSN&quot;:&quot;11778881&quot;,&quot;PMID&quot;:&quot;41281933&quot;,&quot;URL&quot;:&quot;https://pmc.ncbi.nlm.nih.gov/articles/PMC12640138/&quot;,&quot;issued&quot;:{&quot;date-parts&quot;:[[2025]]},&quot;page&quot;:&quot;10195&quot;,&quot;abstract&quot;:&quot;Peripheral neuropathy (PN), characterized by sensory, motor, and autonomic dysfunction, presents a significant therapeutic challenge owing to its diverse etiologies, dynamic spatiotemporal injury microenvironment, and impermeable blood-nerve barrier (BNB). The current treatment is mainly palliative and symptom-focused, and fails to solve the core pathological complexity, including the heterogeneity of nerve injury, the conflicting phases of inflammation, repair, and fibrosis, and the imbalance of the microenvironment in chronic conditions such as diabetes. Chinese herbal medicine (CHM) has multiple benefits including neuroprotective, anti-inflammatory, anti-oxidant, and microenvironmental regulation. However, its clinical translation is hindered by poor bioavailability, non-targeted biodistribution, BNB exclusion, and physicochemical mismatches in multicomponent formulations. Preclinical studies suggest that engineered delivery systems could emerge as a transformative solution to these limitations. Nanocarriers penetrate the BNB via diffusion or ligand-mediated targeting, offering spatiotemporal control through a stimulus-responsive design. Hydrogels align their degradation processes with nerve regeneration and correct the imbalanced microenvironments. Degradable membranes offer localized, sustained release, whereas functionalized nerve conduits address structural defects and improve functional recovery beyond autograft limitations. Despite promising preclinical efficacy, clinical translation faces significant hurdles, including long-term biocompatibility concerns, inconsistent scalability in manufacturing, dosage optimization balancing efficacy and cytotoxicity, dependence on external stimuli, and a lack of standardized regulatory frameworks. Overcoming these challenges requires interdisciplinary collaboration to advance intelligent multifunctional designs, scalable production, and rigorous validations. Based on compelling preclinical data, engineered CHM delivery systems are hypothesized to have enormous potential to transform PN management from palliative care to restorative treatment and establish a new framework in precision neurology.&quot;,&quot;publisher&quot;:&quot;Dove Medical Press Ltd&quot;,&quot;volume&quot;:&quot;19&quot;},&quot;isTemporary&quot;:false}]},{&quot;citationID&quot;:&quot;MENDELEY_CITATION_5df8a9e8-dc63-4bc7-9594-67d696eb4fea&quot;,&quot;properties&quot;:{&quot;noteIndex&quot;:0},&quot;isEdited&quot;:false,&quot;manualOverride&quot;:{&quot;isManuallyOverridden&quot;:false,&quot;citeprocText&quot;:&quot;[45]&quot;,&quot;manualOverrideText&quot;:&quot;&quot;},&quot;citationTag&quot;:&quot;MENDELEY_CITATION_v3_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&quot;,&quot;citationItems&quot;:[{&quot;id&quot;:&quot;d9e22e29-110a-3adf-b9d3-f1978a5d727f&quot;,&quot;itemData&quot;:{&quot;type&quot;:&quot;article-journal&quot;,&quot;id&quot;:&quot;d9e22e29-110a-3adf-b9d3-f1978a5d727f&quot;,&quot;title&quot;:&quot;Quercetin Alleviates Neuropathic Pain in the Rat CCI Model by Mediating AMPK/MAPK Pathway&quot;,&quot;author&quot;:[{&quot;family&quot;:&quot;Ye&quot;,&quot;given&quot;:&quot;Guangyao&quot;,&quot;parse-names&quot;:false,&quot;dropping-particle&quot;:&quot;&quot;,&quot;non-dropping-particle&quot;:&quot;&quot;},{&quot;family&quot;:&quot;Lin&quot;,&quot;given&quot;:&quot;Chunyan&quot;,&quot;parse-names&quot;:false,&quot;dropping-particle&quot;:&quot;&quot;,&quot;non-dropping-particle&quot;:&quot;&quot;},{&quot;family&quot;:&quot;Zhang&quot;,&quot;given&quot;:&quot;Yu&quot;,&quot;parse-names&quot;:false,&quot;dropping-particle&quot;:&quot;&quot;,&quot;non-dropping-particle&quot;:&quot;&quot;},{&quot;family&quot;:&quot;Ma&quot;,&quot;given&quot;:&quot;Zihan&quot;,&quot;parse-names&quot;:false,&quot;dropping-particle&quot;:&quot;&quot;,&quot;non-dropping-particle&quot;:&quot;&quot;},{&quot;family&quot;:&quot;Chen&quot;,&quot;given&quot;:&quot;Yuebo&quot;,&quot;parse-names&quot;:false,&quot;dropping-particle&quot;:&quot;&quot;,&quot;non-dropping-particle&quot;:&quot;&quot;},{&quot;family&quot;:&quot;Kong&quot;,&quot;given&quot;:&quot;Lingsi&quot;,&quot;parse-names&quot;:false,&quot;dropping-particle&quot;:&quot;&quot;,&quot;non-dropping-particle&quot;:&quot;&quot;},{&quot;family&quot;:&quot;Yuan&quot;,&quot;given&quot;:&quot;Liyong&quot;,&quot;parse-names&quot;:false,&quot;dropping-particle&quot;:&quot;&quot;,&quot;non-dropping-particle&quot;:&quot;&quot;},{&quot;family&quot;:&quot;Ma&quot;,&quot;given&quot;:&quot;Tao&quot;,&quot;parse-names&quot;:false,&quot;dropping-particle&quot;:&quot;&quot;,&quot;non-dropping-particle&quot;:&quot;&quot;}],&quot;container-title&quot;:&quot;Journal of Pain Research&quot;,&quot;container-title-short&quot;:&quot;J. Pain Res.&quot;,&quot;accessed&quot;:{&quot;date-parts&quot;:[[2026,2,10]]},&quot;DOI&quot;:&quot;10.2147/JPR.S298727&quot;,&quot;ISSN&quot;:&quot;11787090&quot;,&quot;PMID&quot;:&quot;34040433&quot;,&quot;URL&quot;:&quot;https://pmc.ncbi.nlm.nih.gov/articles/PMC8141401/&quot;,&quot;issued&quot;:{&quot;date-parts&quot;:[[2021]]},&quot;page&quot;:&quot;1289&quot;,&quot;abstract&quot;:&quot;Context: Quercetin (que) is one abundant flavonol with a variety of biological activities. Previous studies have shown quercetin can reduce neuropathic pain in rats with chronic constriction injury (CCI). Objective: To evaluate the effects of quercetin on neuropathic pain in CCI model and explore its underlying mechanism in vivo. Materials and Methods: CCI model was established by ligating the sciatic nerve of right leg on the SD rats. They were divided into ten groups: sham group, CCI model, sham+ que, CCI+ que group (30, 60, 120 mg/kg), CCI+ AICAR, CCI+ que+ compound C, CCI+etor-icoxib, and the control group. They were administered for 28 days, and were performed the mechanical withdrawal threshold (MWT) and thermal withdrawal latency (TWL) during the experiment. At the end of the experiment, sciatic nerves and spinal cord segments of rats were collected, ELISA detected the expression of inflammatory factors, detected the micro-glia and astrocytes with fluorescence, and Western blot detected AMPK/MAPK pathway. Results: Que could increase the MWT of CCI rats, improve the TWL of plantar, and reduce the inflammatory cells at the ligation site of the sciatic nerve. Also, que could reduce the levels of TNF-α, IL-6, and IL-1β. Western blotting results showed that p-38 MAPK, p-ERK, and p-JNK were activated in the spinal dorsal horn of CCI model group. After treatment with que and AMPK agonists, the phosphorylation levels of related proteins were inhibited. In addition, the analgesic effect of que was abolished when the AMPK inhibitor was added. Discussion and Conclusion: Quercetin alleviated the inflammatory response of sciatic nerve and spinal dorsal horn in rats induced by CCI. Quercetin alleviates neuralgia in CCI rats by activating AMPK pathway and inhibiting MAPK pathway and its downstream targets, p-38, p-ERK, and p-JNK.&quot;,&quot;publisher&quot;:&quot;Dove Medical Press Ltd&quot;,&quot;volume&quot;:&quot;14&quot;},&quot;isTemporary&quot;:false}]},{&quot;citationID&quot;:&quot;MENDELEY_CITATION_73c49499-d4a2-4b97-93ac-09263f5c4c6c&quot;,&quot;properties&quot;:{&quot;noteIndex&quot;:0},&quot;isEdited&quot;:false,&quot;manualOverride&quot;:{&quot;isManuallyOverridden&quot;:false,&quot;citeprocText&quot;:&quot;[46]&quot;,&quot;manualOverrideText&quot;:&quot;&quot;},&quot;citationTag&quot;:&quot;MENDELEY_CITATION_v3_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&quot;,&quot;citationItems&quot;:[{&quot;id&quot;:&quot;7784c0ea-7794-3cbd-a2a1-c9c7ea2a1ce3&quot;,&quot;itemData&quot;:{&quot;type&quot;:&quot;article-journal&quot;,&quot;id&quot;:&quot;7784c0ea-7794-3cbd-a2a1-c9c7ea2a1ce3&quot;,&quot;title&quot;:&quot;Antioxidant Enzymes and Lipid Peroxidation in Type 2 Diabetes Mellitus Patients with and without Nephropathy&quot;,&quot;author&quot;:[{&quot;family&quot;:&quot;Kumawat&quot;,&quot;given&quot;:&quot;Manjulata&quot;,&quot;parse-names&quot;:false,&quot;dropping-particle&quot;:&quot;&quot;,&quot;non-dropping-particle&quot;:&quot;&quot;},{&quot;family&quot;:&quot;Sharma&quot;,&quot;given&quot;:&quot;Tarun Kumar&quot;,&quot;parse-names&quot;:false,&quot;dropping-particle&quot;:&quot;&quot;,&quot;non-dropping-particle&quot;:&quot;&quot;},{&quot;family&quot;:&quot;Singh&quot;,&quot;given&quot;:&quot;Ishwar&quot;,&quot;parse-names&quot;:false,&quot;dropping-particle&quot;:&quot;&quot;,&quot;non-dropping-particle&quot;:&quot;&quot;},{&quot;family&quot;:&quot;Singh&quot;,&quot;given&quot;:&quot;Neelima&quot;,&quot;parse-names&quot;:false,&quot;dropping-particle&quot;:&quot;&quot;,&quot;non-dropping-particle&quot;:&quot;&quot;},{&quot;family&quot;:&quot;Ghalaut&quot;,&quot;given&quot;:&quot;Veena Singh&quot;,&quot;parse-names&quot;:false,&quot;dropping-particle&quot;:&quot;&quot;,&quot;non-dropping-particle&quot;:&quot;&quot;},{&quot;family&quot;:&quot;Vardey&quot;,&quot;given&quot;:&quot;Satish Kumar&quot;,&quot;parse-names&quot;:false,&quot;dropping-particle&quot;:&quot;&quot;,&quot;non-dropping-particle&quot;:&quot;&quot;},{&quot;family&quot;:&quot;Shankar&quot;,&quot;given&quot;:&quot;Vijay&quot;,&quot;parse-names&quot;:false,&quot;dropping-particle&quot;:&quot;&quot;,&quot;non-dropping-particle&quot;:&quot;&quot;}],&quot;container-title&quot;:&quot;North American Journal of Medical Sciences&quot;,&quot;container-title-short&quot;:&quot;N. Am. J. Med. Sci.&quot;,&quot;accessed&quot;:{&quot;date-parts&quot;:[[2026,2,10]]},&quot;DOI&quot;:&quot;10.4103/1947-2714.109193&quot;,&quot;ISSN&quot;:&quot;22501541&quot;,&quot;PMID&quot;:&quot;23626958&quot;,&quot;URL&quot;:&quot;https://pmc.ncbi.nlm.nih.gov/articles/PMC3632026/&quot;,&quot;issued&quot;:{&quot;date-parts&quot;:[[2013,3]]},&quot;page&quot;:&quot;213&quot;,&quot;abstract&quot;:&quot;Background: Oxidative stress has been considered to be a pathogenic factor of diabetic complications including nephropathy. There are many controversies and limited studies regarding the antioxidant enzymes in diabetic nephropathy. Aim: This study was to evaluate the levels of antioxidant enzymes and lipid peroxidation in Type-2 Diabetes Mellitus (DM) patients with and without nephropathy. Materials and Methods: The study included 90 age and sex matched subjects. Blood samples of all subjects were analyzed for all biochemical and oxidative stress parameters. Results: The malondialdehyde (MDA) levels and catalase (CAT) activity were significantly increased and reduced glutathione (GSH) levels and activities of glutathione peroxidase (GPx) and glutathione reductase (GR) were significantly decreased in Type-2 DM with and without nephropathy as compared to controls and also in Type-2 DM with nephropathy as compared to Type-2 DM without nephropathy. There were an excellent positive correlation of glycohemoglobin (HbA1c) with MDA and a good negative correlation of GPx with GSH in controls. There were positive correlations of GR, CAT, and superoxide dismutase (SOD) with MDA in Type-2 diabetes patients with nephropathy. Conclusions: Intensity of oxidative stress in Type-2 diabetic patients with nephropathy is greater when compared with Type-2 diabetic patients without nephropathy as compared to the controls.&quot;,&quot;issue&quot;:&quot;3&quot;,&quot;volume&quot;:&quot;5&quot;},&quot;isTemporary&quot;:false}]},{&quot;citationID&quot;:&quot;MENDELEY_CITATION_a4b3920e-4cbb-4b04-9124-34b1792ccef7&quot;,&quot;properties&quot;:{&quot;noteIndex&quot;:0},&quot;isEdited&quot;:false,&quot;manualOverride&quot;:{&quot;isManuallyOverridden&quot;:false,&quot;citeprocText&quot;:&quot;[47]&quot;,&quot;manualOverrideText&quot;:&quot;&quot;},&quot;citationTag&quot;:&quot;MENDELEY_CITATION_v3_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&quot;,&quot;citationItems&quot;:[{&quot;id&quot;:&quot;dcc91457-e474-335a-b373-4abcc0a0fc57&quot;,&quot;itemData&quot;:{&quot;type&quot;:&quot;article-journal&quot;,&quot;id&quot;:&quot;dcc91457-e474-335a-b373-4abcc0a0fc57&quot;,&quot;title&quot;:&quot;Malondialdehyde, glutathione, glutathione peroxidase and homocysteine levels in type 2 diabetic patients with and without microalbuminuria&quot;,&quot;author&quot;:[{&quot;family&quot;:&quot;Ozdemir&quot;,&quot;given&quot;:&quot;Gülsen&quot;,&quot;parse-names&quot;:false,&quot;dropping-particle&quot;:&quot;&quot;,&quot;non-dropping-particle&quot;:&quot;&quot;},{&quot;family&quot;:&quot;Ozden&quot;,&quot;given&quot;:&quot;Meltem&quot;,&quot;parse-names&quot;:false,&quot;dropping-particle&quot;:&quot;&quot;,&quot;non-dropping-particle&quot;:&quot;&quot;},{&quot;family&quot;:&quot;Maral&quot;,&quot;given&quot;:&quot;Hale&quot;,&quot;parse-names&quot;:false,&quot;dropping-particle&quot;:&quot;&quot;,&quot;non-dropping-particle&quot;:&quot;&quot;},{&quot;family&quot;:&quot;Kuskay&quot;,&quot;given&quot;:&quot;Sevinc&quot;,&quot;parse-names&quot;:false,&quot;dropping-particle&quot;:&quot;&quot;,&quot;non-dropping-particle&quot;:&quot;&quot;},{&quot;family&quot;:&quot;Cetinalp&quot;,&quot;given&quot;:&quot;Pinar&quot;,&quot;parse-names&quot;:false,&quot;dropping-particle&quot;:&quot;&quot;,&quot;non-dropping-particle&quot;:&quot;&quot;},{&quot;family&quot;:&quot;Tarkun&quot;,&quot;given&quot;:&quot;Ilhan&quot;,&quot;parse-names&quot;:false,&quot;dropping-particle&quot;:&quot;&quot;,&quot;non-dropping-particle&quot;:&quot;&quot;}],&quot;container-title&quot;:&quot;Annals of Clinical Biochemistry&quot;,&quot;container-title-short&quot;:&quot;Ann. Clin. Biochem.&quot;,&quot;accessed&quot;:{&quot;date-parts&quot;:[[2026,2,10]]},&quot;DOI&quot;:&quot;10.1258/0004563053492838&quot;,&quot;ISSN&quot;:&quot;00045632&quot;,&quot;PMID&quot;:&quot;15829117&quot;,&quot;URL&quot;:&quot;https://www.researchgate.net/publication/7908167_Malondialdehyde_glutathione_glutathione_peroxidase_and_homocysteine_levels_in_type_2_diabetic_patients_with_and_without_microalbuminuria&quot;,&quot;issued&quot;:{&quot;date-parts&quot;:[[2005,3]]},&quot;page&quot;:&quot;99-104&quot;,&quot;abstract&quot;:&quot;Background: High levels of homocysteine and oxidative stress are known to be associated with premature vascular disease in type 2 diabetes mellitus (DM). The aim of this study was to estimate homocysteine levels and oxidant-antioxidant status and to determine the relationship between them in type 2 diabetic patients with and without microalbuminuria. Methods: Fasting blood samples were obtained from 48 diabetic patients (17 with and 31 without microalbuminuria) and 20 healthy subjects. Serum total homocysteine (tHcy), plasma malondialdehyde (MDA) erythrocyte glutathione (GSH) and glutathione peroxidase (GPx) activity were measured in these patients and the results were compared with those of controls who were chosen among healthy subjects. Results: MDA levels were found to be significantly lower and GSH levels and GPx activities were found to be significantly higher in control subjects when compared with patients with and without microalbuminuria (MDA: P &lt; 0.0001, P &lt; 0.0001; GSH: P &lt; 0.0001, P &lt; 0.0001; GPx: P &lt; 0.0001, P &lt; 0.001, respectively). MDA levels were found to be significantly higher in patients with microalbuminuria compared with patients without microalbuminuria (P &lt; 0.0001), while similarly GSH levels were found to be significantly lower in patients with microalbuminuria (P &lt; 0.0001). Although there were no significant differences with respect to tHcy levels and GPx activities between the microalbuminuric and normoalbuminuric patients (P &gt; 0.05), there was a significant difference with respect to tHcy levels between healthy controls and patients with microalbuminuria (P &lt; 0.05). The serum levels of tHcy correlated best with plasma MDA and erythrocyte GSH concentrations in all diabetic patients (r = 0.549, P &lt; 0.0001; r = -0.385, P &lt; 0.01). Conclusion: Decreased antioxidant levels, increased lipid peroxidation and increased tHcy levels were observed in patients with microalbuminuria. These changes may contribute to vascular disease, which is particularly prevalent in type 2 DM patients with microalbuminuria. © 2005 The Association of Clinical Biochemists.&quot;,&quot;issue&quot;:&quot;2&quot;,&quot;volume&quot;:&quot;42&quot;},&quot;isTemporary&quot;:false}]},{&quot;citationID&quot;:&quot;MENDELEY_CITATION_1ae920d5-9bec-4dee-86ce-f2f48646955d&quot;,&quot;properties&quot;:{&quot;noteIndex&quot;:0},&quot;isEdited&quot;:false,&quot;manualOverride&quot;:{&quot;isManuallyOverridden&quot;:false,&quot;citeprocText&quot;:&quot;[48]&quot;,&quot;manualOverrideText&quot;:&quot;&quot;},&quot;citationTag&quot;:&quot;MENDELEY_CITATION_v3_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&quot;,&quot;citationItems&quot;:[{&quot;id&quot;:&quot;8f096dd0-1fbb-361b-9709-65ef20558bd8&quot;,&quot;itemData&quot;:{&quot;type&quot;:&quot;article-journal&quot;,&quot;id&quot;:&quot;8f096dd0-1fbb-361b-9709-65ef20558bd8&quot;,&quot;title&quot;:&quot;Improvement of Therapeutic Value of Quercetin with Chitosan Nanoparticle Delivery Systems and Potential Applications&quot;,&quot;author&quot;:[{&quot;family&quot;:&quot;Lawson&quot;,&quot;given&quot;:&quot;Michael Kenneth&quot;,&quot;parse-names&quot;:false,&quot;dropping-particle&quot;:&quot;&quot;,&quot;non-dropping-particle&quot;:&quot;&quot;}],&quot;container-title&quot;:&quot;International Journal of Molecular Sciences&quot;,&quot;container-title-short&quot;:&quot;Int. J. Mol. Sci.&quot;,&quot;accessed&quot;:{&quot;date-parts&quot;:[[2026,2,10]]},&quot;DOI&quot;:&quot;10.3390/ijms24043293&quot;,&quot;ISSN&quot;:&quot;14220067&quot;,&quot;PMID&quot;:&quot;36834702&quot;,&quot;URL&quot;:&quot;https://pmc.ncbi.nlm.nih.gov/articles/PMC9959398/&quot;,&quot;issued&quot;:{&quot;date-parts&quot;:[[2023,2,1]]},&quot;page&quot;:&quot;3293&quot;,&quot;abstract&quot;:&quot;This paper reviews recent studies investigating chitosan nanoparticles as drug delivery systems for quercetin. The therapeutic properties of quercetin include antioxidant, antibacterial and anti-cancer potential, but its therapeutic value is limited by its hydrophobic nature, low bioavailability and fast metabolism. Quercetin may also act synergistically with other stronger drugs for specific disease states. The encapsulation of quercetin in nanoparticles may increase its therapeutic value. Chitosan nanoparticles are a popular candidate in preliminary research, but the complex nature of chitosan makes standardisation difficult. Recent studies have used in-vitro, and in-vivo experiments to study the delivery of quercetin alone or in combination with another active pharmaceutical ingredient encapsulated in chitosan nanoparticles. These studies were compared with the administration of non-encapsulated quercetin formulation. Results suggest that encapsulated nanoparticle formulations are better. In-vivo or animal models simulated the type of disease required to be treated. The types of diseases were breast, lung, liver and colon cancers, mechanical and UVB-induced skin damage, cataracts and general oxidative stress. The reviewed studies included various routes of administration: oral, intravenous and transdermal routes. Although toxicity tests were often included, it is believed that the toxicity of loaded nanoparticles needs to be further researched, especially when not orally administered.&quot;,&quot;publisher&quot;:&quot;Multidisciplinary Digital Publishing Institute (MDPI)&quot;,&quot;issue&quot;:&quot;4&quot;,&quot;volume&quot;:&quot;24&quot;},&quot;isTemporary&quot;:false}]}]"/>
    <we:property name="MENDELEY_CITATIONS_LOCALE_CODE" value="&quot;en-US&quot;"/>
    <we:property name="MENDELEY_CITATIONS_STYLE" value="{&quot;id&quot;:&quot;https://www.zotero.org/styles/elsevier-vancouver&quot;,&quot;title&quot;:&quot;Elsevier - NLM/Vancouver (citation-sequence)&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6F694A-5151-40A6-9CB7-8A36BCFEB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1628</TotalTime>
  <Pages>20</Pages>
  <Words>12134</Words>
  <Characters>69168</Characters>
  <Application>Microsoft Office Word</Application>
  <DocSecurity>0</DocSecurity>
  <Lines>576</Lines>
  <Paragraphs>162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Tej Bahadur Chandra</dc:creator>
  <cp:lastModifiedBy>Aayushi Singh</cp:lastModifiedBy>
  <cp:revision>234</cp:revision>
  <cp:lastPrinted>2025-12-05T13:16:00Z</cp:lastPrinted>
  <dcterms:created xsi:type="dcterms:W3CDTF">2026-07-20T17:06:00Z</dcterms:created>
  <dcterms:modified xsi:type="dcterms:W3CDTF">2026-09-09T10:20:00Z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http://www.zotero.org/styles/chicago-author-date</vt:lpwstr>
  </property>
  <property fmtid="{D5CDD505-2E9C-101B-9397-08002B2CF9AE}" pid="5" name="Mendeley Recent Style Name 1_1">
    <vt:lpwstr>Chicago Manual of Style 17th edition (author-date)</vt:lpwstr>
  </property>
  <property fmtid="{D5CDD505-2E9C-101B-9397-08002B2CF9AE}" pid="6" name="Mendeley Recent Style Id 2_1">
    <vt:lpwstr>http://www.zotero.org/styles/chicago-note-bibliography</vt:lpwstr>
  </property>
  <property fmtid="{D5CDD505-2E9C-101B-9397-08002B2CF9AE}" pid="7" name="Mendeley Recent Style Name 2_1">
    <vt:lpwstr>Chicago Manual of Style 17th edition (note)</vt:lpwstr>
  </property>
  <property fmtid="{D5CDD505-2E9C-101B-9397-08002B2CF9AE}" pid="8" name="Mendeley Recent Style Id 3_1">
    <vt:lpwstr>http://www.zotero.org/styles/elsevier-vancouver</vt:lpwstr>
  </property>
  <property fmtid="{D5CDD505-2E9C-101B-9397-08002B2CF9AE}" pid="9" name="Mendeley Recent Style Name 3_1">
    <vt:lpwstr>Elsevier - Vancouver</vt:lpwstr>
  </property>
  <property fmtid="{D5CDD505-2E9C-101B-9397-08002B2CF9AE}" pid="10" name="Mendeley Recent Style Id 4_1">
    <vt:lpwstr>http://www.zotero.org/styles/expert-systems-with-applications</vt:lpwstr>
  </property>
  <property fmtid="{D5CDD505-2E9C-101B-9397-08002B2CF9AE}" pid="11" name="Mendeley Recent Style Name 4_1">
    <vt:lpwstr>Expert Systems With Applications</vt:lpwstr>
  </property>
  <property fmtid="{D5CDD505-2E9C-101B-9397-08002B2CF9AE}" pid="12" name="Mendeley Recent Style Id 5_1">
    <vt:lpwstr>http://www.zotero.org/styles/public-health</vt:lpwstr>
  </property>
  <property fmtid="{D5CDD505-2E9C-101B-9397-08002B2CF9AE}" pid="13" name="Mendeley Recent Style Name 5_1">
    <vt:lpwstr>Public Health</vt:lpwstr>
  </property>
  <property fmtid="{D5CDD505-2E9C-101B-9397-08002B2CF9AE}" pid="14" name="Mendeley Recent Style Id 6_1">
    <vt:lpwstr>http://www.zotero.org/styles/springer-vancouver</vt:lpwstr>
  </property>
  <property fmtid="{D5CDD505-2E9C-101B-9397-08002B2CF9AE}" pid="15" name="Mendeley Recent Style Name 6_1">
    <vt:lpwstr>Springer - Vancouver</vt:lpwstr>
  </property>
  <property fmtid="{D5CDD505-2E9C-101B-9397-08002B2CF9AE}" pid="16" name="Mendeley Recent Style Id 7_1">
    <vt:lpwstr>http://www.zotero.org/styles/springer-vancouver-author-date</vt:lpwstr>
  </property>
  <property fmtid="{D5CDD505-2E9C-101B-9397-08002B2CF9AE}" pid="17" name="Mendeley Recent Style Name 7_1">
    <vt:lpwstr>Springer - Vancouver (author-date)</vt:lpwstr>
  </property>
  <property fmtid="{D5CDD505-2E9C-101B-9397-08002B2CF9AE}" pid="18" name="Mendeley Recent Style Id 8_1">
    <vt:lpwstr>http://www.zotero.org/styles/vancouver</vt:lpwstr>
  </property>
  <property fmtid="{D5CDD505-2E9C-101B-9397-08002B2CF9AE}" pid="19" name="Mendeley Recent Style Name 8_1">
    <vt:lpwstr>Vancouver</vt:lpwstr>
  </property>
  <property fmtid="{D5CDD505-2E9C-101B-9397-08002B2CF9AE}" pid="20" name="Mendeley Recent Style Id 9_1">
    <vt:lpwstr>http://www.zotero.org/styles/vancouver-author-date</vt:lpwstr>
  </property>
  <property fmtid="{D5CDD505-2E9C-101B-9397-08002B2CF9AE}" pid="21" name="Mendeley Recent Style Name 9_1">
    <vt:lpwstr>Vancouver (author-date)</vt:lpwstr>
  </property>
  <property fmtid="{D5CDD505-2E9C-101B-9397-08002B2CF9AE}" pid="22" name="MSIP_Label_defa4170-0d19-0005-0004-bc88714345d2_Enabled">
    <vt:lpwstr>true</vt:lpwstr>
  </property>
  <property fmtid="{D5CDD505-2E9C-101B-9397-08002B2CF9AE}" pid="23" name="MSIP_Label_defa4170-0d19-0005-0004-bc88714345d2_SetDate">
    <vt:lpwstr>2025-01-12T04:48:23Z</vt:lpwstr>
  </property>
  <property fmtid="{D5CDD505-2E9C-101B-9397-08002B2CF9AE}" pid="24" name="MSIP_Label_defa4170-0d19-0005-0004-bc88714345d2_Method">
    <vt:lpwstr>Standard</vt:lpwstr>
  </property>
  <property fmtid="{D5CDD505-2E9C-101B-9397-08002B2CF9AE}" pid="25" name="MSIP_Label_defa4170-0d19-0005-0004-bc88714345d2_Name">
    <vt:lpwstr>defa4170-0d19-0005-0004-bc88714345d2</vt:lpwstr>
  </property>
  <property fmtid="{D5CDD505-2E9C-101B-9397-08002B2CF9AE}" pid="26" name="MSIP_Label_defa4170-0d19-0005-0004-bc88714345d2_SiteId">
    <vt:lpwstr>0325e16f-419c-4e1e-b2e2-10a60190769e</vt:lpwstr>
  </property>
  <property fmtid="{D5CDD505-2E9C-101B-9397-08002B2CF9AE}" pid="27" name="MSIP_Label_defa4170-0d19-0005-0004-bc88714345d2_ActionId">
    <vt:lpwstr>b4bfa04b-386d-423c-96f2-93e795879eda</vt:lpwstr>
  </property>
  <property fmtid="{D5CDD505-2E9C-101B-9397-08002B2CF9AE}" pid="28" name="MSIP_Label_defa4170-0d19-0005-0004-bc88714345d2_ContentBits">
    <vt:lpwstr>0</vt:lpwstr>
  </property>
  <property fmtid="{D5CDD505-2E9C-101B-9397-08002B2CF9AE}" pid="29" name="GrammarlyDocumentId">
    <vt:lpwstr>0c2a6e4c97b1086ed02dae6eddc0e2fd824738568f4d84be88a58a6517d574b4</vt:lpwstr>
  </property>
</Properties>
</file>